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E" w14:textId="28A42FA2" w:rsidR="006B74F9" w:rsidRPr="00266897" w:rsidRDefault="00935D2B">
      <w:r>
        <w:rPr>
          <w:noProof/>
        </w:rPr>
        <w:drawing>
          <wp:anchor distT="0" distB="0" distL="114300" distR="114300" simplePos="0" relativeHeight="251659264" behindDoc="1" locked="0" layoutInCell="1" allowOverlap="1" wp14:anchorId="3DC43185" wp14:editId="683D2334">
            <wp:simplePos x="0" y="0"/>
            <wp:positionH relativeFrom="column">
              <wp:posOffset>2482850</wp:posOffset>
            </wp:positionH>
            <wp:positionV relativeFrom="paragraph">
              <wp:posOffset>-458470</wp:posOffset>
            </wp:positionV>
            <wp:extent cx="3206750" cy="77213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750" cy="772134"/>
                    </a:xfrm>
                    <a:prstGeom prst="rect">
                      <a:avLst/>
                    </a:prstGeom>
                    <a:noFill/>
                  </pic:spPr>
                </pic:pic>
              </a:graphicData>
            </a:graphic>
            <wp14:sizeRelH relativeFrom="page">
              <wp14:pctWidth>0</wp14:pctWidth>
            </wp14:sizeRelH>
            <wp14:sizeRelV relativeFrom="page">
              <wp14:pctHeight>0</wp14:pctHeight>
            </wp14:sizeRelV>
          </wp:anchor>
        </w:drawing>
      </w:r>
    </w:p>
    <w:p w14:paraId="5F1728EC" w14:textId="77777777" w:rsidR="006B74F9" w:rsidRPr="00266897" w:rsidRDefault="006B74F9"/>
    <w:tbl>
      <w:tblPr>
        <w:tblStyle w:val="TableGrid"/>
        <w:tblpPr w:leftFromText="180" w:rightFromText="180" w:vertAnchor="text" w:horzAnchor="margin" w:tblpY="42"/>
        <w:tblW w:w="0" w:type="auto"/>
        <w:tblLook w:val="04A0" w:firstRow="1" w:lastRow="0" w:firstColumn="1" w:lastColumn="0" w:noHBand="0" w:noVBand="1"/>
      </w:tblPr>
      <w:tblGrid>
        <w:gridCol w:w="2689"/>
        <w:gridCol w:w="6327"/>
      </w:tblGrid>
      <w:tr w:rsidR="0009279A" w:rsidRPr="00885753" w14:paraId="3D9F4C9B" w14:textId="77777777" w:rsidTr="0009279A">
        <w:tc>
          <w:tcPr>
            <w:tcW w:w="9016" w:type="dxa"/>
            <w:gridSpan w:val="2"/>
            <w:tcBorders>
              <w:top w:val="nil"/>
              <w:left w:val="nil"/>
              <w:bottom w:val="nil"/>
              <w:right w:val="nil"/>
            </w:tcBorders>
            <w:shd w:val="clear" w:color="auto" w:fill="auto"/>
          </w:tcPr>
          <w:p w14:paraId="6E068E8F" w14:textId="77777777" w:rsidR="0009279A" w:rsidRPr="00885753" w:rsidRDefault="0009279A" w:rsidP="0009279A">
            <w:pPr>
              <w:jc w:val="center"/>
              <w:rPr>
                <w:rFonts w:cstheme="minorHAnsi"/>
                <w:b/>
              </w:rPr>
            </w:pPr>
            <w:r w:rsidRPr="00885753">
              <w:rPr>
                <w:rFonts w:cstheme="minorHAnsi"/>
                <w:b/>
              </w:rPr>
              <w:t>Job Description</w:t>
            </w:r>
          </w:p>
          <w:p w14:paraId="0C97FBB0" w14:textId="77777777" w:rsidR="0009279A" w:rsidRPr="00885753" w:rsidRDefault="0009279A" w:rsidP="0009279A">
            <w:pPr>
              <w:jc w:val="center"/>
              <w:rPr>
                <w:rFonts w:cstheme="minorHAnsi"/>
                <w:b/>
              </w:rPr>
            </w:pPr>
          </w:p>
        </w:tc>
      </w:tr>
      <w:tr w:rsidR="0009279A" w:rsidRPr="00885753" w14:paraId="6C14F33F" w14:textId="77777777" w:rsidTr="0009279A">
        <w:tc>
          <w:tcPr>
            <w:tcW w:w="2689" w:type="dxa"/>
            <w:tcBorders>
              <w:top w:val="nil"/>
              <w:left w:val="nil"/>
              <w:bottom w:val="nil"/>
              <w:right w:val="nil"/>
            </w:tcBorders>
            <w:shd w:val="clear" w:color="auto" w:fill="auto"/>
          </w:tcPr>
          <w:p w14:paraId="234A9C98" w14:textId="77777777" w:rsidR="0009279A" w:rsidRPr="00885753" w:rsidRDefault="0009279A" w:rsidP="0009279A">
            <w:pPr>
              <w:rPr>
                <w:rFonts w:cstheme="minorHAnsi"/>
                <w:b/>
              </w:rPr>
            </w:pPr>
            <w:r w:rsidRPr="00885753">
              <w:rPr>
                <w:rFonts w:cstheme="minorHAnsi"/>
                <w:b/>
              </w:rPr>
              <w:t xml:space="preserve">Job Title </w:t>
            </w:r>
          </w:p>
        </w:tc>
        <w:tc>
          <w:tcPr>
            <w:tcW w:w="6327" w:type="dxa"/>
            <w:tcBorders>
              <w:top w:val="nil"/>
              <w:left w:val="nil"/>
              <w:bottom w:val="nil"/>
              <w:right w:val="nil"/>
            </w:tcBorders>
            <w:shd w:val="clear" w:color="auto" w:fill="auto"/>
          </w:tcPr>
          <w:p w14:paraId="0066353C" w14:textId="77777777" w:rsidR="0009279A" w:rsidRPr="00885753" w:rsidRDefault="0009279A" w:rsidP="0009279A">
            <w:pPr>
              <w:tabs>
                <w:tab w:val="left" w:pos="507"/>
              </w:tabs>
              <w:rPr>
                <w:rFonts w:cstheme="minorHAnsi"/>
              </w:rPr>
            </w:pPr>
            <w:r w:rsidRPr="00885753">
              <w:rPr>
                <w:rFonts w:cstheme="minorHAnsi"/>
              </w:rPr>
              <w:t>Enterprise Coordinator</w:t>
            </w:r>
          </w:p>
        </w:tc>
      </w:tr>
      <w:tr w:rsidR="0009279A" w:rsidRPr="00885753" w14:paraId="749980B7" w14:textId="77777777" w:rsidTr="0009279A">
        <w:tc>
          <w:tcPr>
            <w:tcW w:w="2689" w:type="dxa"/>
            <w:tcBorders>
              <w:top w:val="nil"/>
              <w:left w:val="nil"/>
              <w:bottom w:val="nil"/>
              <w:right w:val="nil"/>
            </w:tcBorders>
            <w:shd w:val="clear" w:color="auto" w:fill="auto"/>
          </w:tcPr>
          <w:p w14:paraId="7AC4976B" w14:textId="77777777" w:rsidR="0009279A" w:rsidRPr="00885753" w:rsidRDefault="0009279A" w:rsidP="0009279A">
            <w:pPr>
              <w:rPr>
                <w:rFonts w:cstheme="minorHAnsi"/>
                <w:b/>
              </w:rPr>
            </w:pPr>
            <w:r w:rsidRPr="00885753">
              <w:rPr>
                <w:rFonts w:cstheme="minorHAnsi"/>
                <w:b/>
              </w:rPr>
              <w:t xml:space="preserve">Location </w:t>
            </w:r>
          </w:p>
        </w:tc>
        <w:tc>
          <w:tcPr>
            <w:tcW w:w="6327" w:type="dxa"/>
            <w:tcBorders>
              <w:top w:val="nil"/>
              <w:left w:val="nil"/>
              <w:bottom w:val="nil"/>
              <w:right w:val="nil"/>
            </w:tcBorders>
            <w:shd w:val="clear" w:color="auto" w:fill="auto"/>
          </w:tcPr>
          <w:p w14:paraId="62F1E2DF" w14:textId="77777777" w:rsidR="0009279A" w:rsidRPr="00885753" w:rsidRDefault="0009279A" w:rsidP="0009279A">
            <w:pPr>
              <w:rPr>
                <w:rFonts w:cstheme="minorHAnsi"/>
              </w:rPr>
            </w:pPr>
          </w:p>
        </w:tc>
      </w:tr>
      <w:tr w:rsidR="0009279A" w:rsidRPr="00885753" w14:paraId="27B7C140" w14:textId="77777777" w:rsidTr="0009279A">
        <w:tc>
          <w:tcPr>
            <w:tcW w:w="2689" w:type="dxa"/>
            <w:tcBorders>
              <w:top w:val="nil"/>
              <w:left w:val="nil"/>
              <w:bottom w:val="nil"/>
              <w:right w:val="nil"/>
            </w:tcBorders>
            <w:shd w:val="clear" w:color="auto" w:fill="auto"/>
          </w:tcPr>
          <w:p w14:paraId="3FEBE86A" w14:textId="77777777" w:rsidR="0009279A" w:rsidRPr="00885753" w:rsidRDefault="0009279A" w:rsidP="0009279A">
            <w:pPr>
              <w:rPr>
                <w:rFonts w:cstheme="minorHAnsi"/>
                <w:b/>
              </w:rPr>
            </w:pPr>
            <w:r w:rsidRPr="00885753">
              <w:rPr>
                <w:rFonts w:cstheme="minorHAnsi"/>
                <w:b/>
              </w:rPr>
              <w:t>Reporting to</w:t>
            </w:r>
          </w:p>
        </w:tc>
        <w:tc>
          <w:tcPr>
            <w:tcW w:w="6327" w:type="dxa"/>
            <w:tcBorders>
              <w:top w:val="nil"/>
              <w:left w:val="nil"/>
              <w:bottom w:val="nil"/>
              <w:right w:val="nil"/>
            </w:tcBorders>
            <w:shd w:val="clear" w:color="auto" w:fill="auto"/>
          </w:tcPr>
          <w:p w14:paraId="583FEEC4" w14:textId="77777777" w:rsidR="0009279A" w:rsidRPr="00885753" w:rsidRDefault="0009279A" w:rsidP="0009279A">
            <w:pPr>
              <w:rPr>
                <w:rFonts w:cstheme="minorHAnsi"/>
              </w:rPr>
            </w:pPr>
            <w:r w:rsidRPr="00885753">
              <w:rPr>
                <w:rFonts w:cstheme="minorHAnsi"/>
              </w:rPr>
              <w:t>Skills Lead / Hub Lead</w:t>
            </w:r>
          </w:p>
        </w:tc>
      </w:tr>
      <w:tr w:rsidR="0009279A" w:rsidRPr="00885753" w14:paraId="09056017" w14:textId="77777777" w:rsidTr="0009279A">
        <w:tc>
          <w:tcPr>
            <w:tcW w:w="2689" w:type="dxa"/>
            <w:tcBorders>
              <w:top w:val="nil"/>
              <w:left w:val="nil"/>
              <w:bottom w:val="nil"/>
              <w:right w:val="nil"/>
            </w:tcBorders>
            <w:shd w:val="clear" w:color="auto" w:fill="auto"/>
          </w:tcPr>
          <w:p w14:paraId="4F7D8B3E" w14:textId="77777777" w:rsidR="0009279A" w:rsidRPr="00885753" w:rsidRDefault="0009279A" w:rsidP="0009279A">
            <w:pPr>
              <w:rPr>
                <w:rFonts w:cstheme="minorHAnsi"/>
                <w:b/>
              </w:rPr>
            </w:pPr>
            <w:r w:rsidRPr="00885753">
              <w:rPr>
                <w:rFonts w:cstheme="minorHAnsi"/>
                <w:b/>
              </w:rPr>
              <w:t xml:space="preserve">Direct reports </w:t>
            </w:r>
          </w:p>
        </w:tc>
        <w:tc>
          <w:tcPr>
            <w:tcW w:w="6327" w:type="dxa"/>
            <w:tcBorders>
              <w:top w:val="nil"/>
              <w:left w:val="nil"/>
              <w:bottom w:val="nil"/>
              <w:right w:val="nil"/>
            </w:tcBorders>
            <w:shd w:val="clear" w:color="auto" w:fill="auto"/>
          </w:tcPr>
          <w:p w14:paraId="1E539EF2" w14:textId="77777777" w:rsidR="0009279A" w:rsidRPr="00885753" w:rsidRDefault="0009279A" w:rsidP="0009279A">
            <w:pPr>
              <w:rPr>
                <w:rFonts w:cstheme="minorHAnsi"/>
              </w:rPr>
            </w:pPr>
            <w:r w:rsidRPr="00885753">
              <w:rPr>
                <w:rFonts w:cstheme="minorHAnsi"/>
              </w:rPr>
              <w:t>None</w:t>
            </w:r>
          </w:p>
        </w:tc>
      </w:tr>
      <w:tr w:rsidR="0009279A" w:rsidRPr="00885753" w14:paraId="546575DA" w14:textId="77777777" w:rsidTr="0009279A">
        <w:tc>
          <w:tcPr>
            <w:tcW w:w="2689" w:type="dxa"/>
            <w:tcBorders>
              <w:top w:val="nil"/>
              <w:left w:val="nil"/>
              <w:bottom w:val="nil"/>
              <w:right w:val="nil"/>
            </w:tcBorders>
            <w:shd w:val="clear" w:color="auto" w:fill="auto"/>
          </w:tcPr>
          <w:p w14:paraId="2E441258" w14:textId="77777777" w:rsidR="0009279A" w:rsidRPr="00885753" w:rsidRDefault="0009279A" w:rsidP="0009279A">
            <w:pPr>
              <w:rPr>
                <w:rFonts w:cstheme="minorHAnsi"/>
                <w:b/>
              </w:rPr>
            </w:pPr>
            <w:r w:rsidRPr="00885753">
              <w:rPr>
                <w:rFonts w:cstheme="minorHAnsi"/>
                <w:b/>
              </w:rPr>
              <w:t xml:space="preserve">Term </w:t>
            </w:r>
          </w:p>
        </w:tc>
        <w:tc>
          <w:tcPr>
            <w:tcW w:w="6327" w:type="dxa"/>
            <w:tcBorders>
              <w:top w:val="nil"/>
              <w:left w:val="nil"/>
              <w:bottom w:val="nil"/>
              <w:right w:val="nil"/>
            </w:tcBorders>
            <w:shd w:val="clear" w:color="auto" w:fill="auto"/>
          </w:tcPr>
          <w:p w14:paraId="04809875" w14:textId="77777777" w:rsidR="0009279A" w:rsidRPr="00885753" w:rsidRDefault="0009279A" w:rsidP="0009279A">
            <w:pPr>
              <w:rPr>
                <w:rFonts w:cstheme="minorHAnsi"/>
              </w:rPr>
            </w:pPr>
            <w:r w:rsidRPr="00885753">
              <w:rPr>
                <w:rFonts w:cstheme="minorHAnsi"/>
              </w:rPr>
              <w:t>TBC</w:t>
            </w:r>
          </w:p>
        </w:tc>
      </w:tr>
      <w:tr w:rsidR="0009279A" w:rsidRPr="00885753" w14:paraId="6D196C92" w14:textId="77777777" w:rsidTr="0009279A">
        <w:tc>
          <w:tcPr>
            <w:tcW w:w="2689" w:type="dxa"/>
            <w:tcBorders>
              <w:top w:val="nil"/>
              <w:left w:val="nil"/>
              <w:bottom w:val="nil"/>
              <w:right w:val="nil"/>
            </w:tcBorders>
            <w:shd w:val="clear" w:color="auto" w:fill="auto"/>
          </w:tcPr>
          <w:p w14:paraId="5367129F" w14:textId="77777777" w:rsidR="0009279A" w:rsidRPr="00885753" w:rsidRDefault="0009279A" w:rsidP="0009279A">
            <w:pPr>
              <w:rPr>
                <w:rFonts w:cstheme="minorHAnsi"/>
                <w:b/>
              </w:rPr>
            </w:pPr>
            <w:r w:rsidRPr="00885753">
              <w:rPr>
                <w:rFonts w:cstheme="minorHAnsi"/>
                <w:b/>
              </w:rPr>
              <w:t xml:space="preserve">Salary Range </w:t>
            </w:r>
          </w:p>
        </w:tc>
        <w:tc>
          <w:tcPr>
            <w:tcW w:w="6327" w:type="dxa"/>
            <w:tcBorders>
              <w:top w:val="nil"/>
              <w:left w:val="nil"/>
              <w:bottom w:val="nil"/>
              <w:right w:val="nil"/>
            </w:tcBorders>
            <w:shd w:val="clear" w:color="auto" w:fill="auto"/>
          </w:tcPr>
          <w:p w14:paraId="34424337" w14:textId="6D2B80E9" w:rsidR="0009279A" w:rsidRPr="00184E61" w:rsidRDefault="00184E61" w:rsidP="0009279A">
            <w:pPr>
              <w:rPr>
                <w:rFonts w:cstheme="minorHAnsi"/>
                <w:i/>
                <w:iCs/>
              </w:rPr>
            </w:pPr>
            <w:r w:rsidRPr="00184E61">
              <w:rPr>
                <w:rFonts w:cstheme="minorHAnsi"/>
                <w:i/>
                <w:iCs/>
              </w:rPr>
              <w:t>Please refer to specific role information</w:t>
            </w:r>
          </w:p>
        </w:tc>
      </w:tr>
      <w:tr w:rsidR="0009279A" w:rsidRPr="00885753" w14:paraId="7C1FEAB1" w14:textId="77777777" w:rsidTr="0009279A">
        <w:tc>
          <w:tcPr>
            <w:tcW w:w="9016" w:type="dxa"/>
            <w:gridSpan w:val="2"/>
            <w:tcBorders>
              <w:top w:val="nil"/>
              <w:left w:val="nil"/>
              <w:bottom w:val="nil"/>
              <w:right w:val="nil"/>
            </w:tcBorders>
          </w:tcPr>
          <w:p w14:paraId="036703D8" w14:textId="77777777" w:rsidR="0009279A" w:rsidRPr="00885753" w:rsidRDefault="0009279A" w:rsidP="0009279A">
            <w:pPr>
              <w:spacing w:after="120"/>
              <w:jc w:val="both"/>
              <w:rPr>
                <w:rFonts w:cstheme="minorHAnsi"/>
                <w:bCs/>
              </w:rPr>
            </w:pPr>
          </w:p>
          <w:p w14:paraId="220B310A" w14:textId="77777777" w:rsidR="0009279A" w:rsidRPr="00885753" w:rsidRDefault="0009279A" w:rsidP="0009279A">
            <w:pPr>
              <w:spacing w:after="120"/>
              <w:jc w:val="both"/>
              <w:rPr>
                <w:rFonts w:cstheme="minorHAnsi"/>
                <w:bCs/>
              </w:rPr>
            </w:pPr>
            <w:r w:rsidRPr="00885753">
              <w:rPr>
                <w:rFonts w:cstheme="minorHAnsi"/>
                <w:bCs/>
              </w:rPr>
              <w:t xml:space="preserve">The Careers &amp; Enterprise Company has been set up to inspire and prepare young people for the fast-changing world of work. </w:t>
            </w:r>
          </w:p>
          <w:p w14:paraId="22650F9F" w14:textId="77777777" w:rsidR="0009279A" w:rsidRPr="00885753" w:rsidRDefault="0009279A" w:rsidP="0009279A">
            <w:pPr>
              <w:spacing w:after="120"/>
              <w:jc w:val="both"/>
              <w:rPr>
                <w:rFonts w:cstheme="minorHAnsi"/>
                <w:bCs/>
              </w:rPr>
            </w:pPr>
            <w:r w:rsidRPr="00885753">
              <w:rPr>
                <w:rFonts w:cstheme="minorHAnsi"/>
                <w:bCs/>
              </w:rPr>
              <w:t xml:space="preserve">It has established a network of coordination (Enterprise Adviser Network) across England in partnership with Local Enterprise Partnerships, with over 200 full time Enterprise Coordinators now working with clusters of 20 schools and colleges, or 15 schools and colleges in “Careers Hubs”. </w:t>
            </w:r>
          </w:p>
          <w:p w14:paraId="1A150913" w14:textId="0FE17B6F" w:rsidR="0009279A" w:rsidRPr="00885753" w:rsidRDefault="0009279A" w:rsidP="0009279A">
            <w:pPr>
              <w:spacing w:after="120"/>
              <w:jc w:val="both"/>
              <w:rPr>
                <w:rFonts w:cstheme="minorHAnsi"/>
                <w:bCs/>
              </w:rPr>
            </w:pPr>
            <w:r w:rsidRPr="00885753">
              <w:rPr>
                <w:rFonts w:cstheme="minorHAnsi"/>
                <w:bCs/>
              </w:rPr>
              <w:t xml:space="preserve">Significant focus has been on improving links between employers and schools and colleges, to create powerful, lasting connections. Over </w:t>
            </w:r>
            <w:r w:rsidR="00617A16">
              <w:rPr>
                <w:rFonts w:cstheme="minorHAnsi"/>
                <w:bCs/>
              </w:rPr>
              <w:t>4</w:t>
            </w:r>
            <w:r w:rsidRPr="00885753">
              <w:rPr>
                <w:rFonts w:cstheme="minorHAnsi"/>
                <w:bCs/>
              </w:rPr>
              <w:t xml:space="preserve">000 Enterprise Advisers - business volunteers who have signed up to provide strategic support to individual schools and colleges – are now part of the Enterprise Adviser Network (EAN). </w:t>
            </w:r>
            <w:r>
              <w:rPr>
                <w:rFonts w:cstheme="minorHAnsi"/>
                <w:bCs/>
              </w:rPr>
              <w:t>More than 300 Cornerstone Employers from a range of business sectors and sizes have stepped up to support young people in Careers Hubs around the country.</w:t>
            </w:r>
          </w:p>
          <w:p w14:paraId="3409EE3A" w14:textId="77777777" w:rsidR="0009279A" w:rsidRDefault="0009279A" w:rsidP="0009279A">
            <w:pPr>
              <w:spacing w:after="120"/>
              <w:jc w:val="both"/>
              <w:rPr>
                <w:rFonts w:cstheme="minorHAnsi"/>
                <w:bCs/>
              </w:rPr>
            </w:pPr>
            <w:r w:rsidRPr="00885753">
              <w:rPr>
                <w:rFonts w:cstheme="minorHAnsi"/>
                <w:bCs/>
              </w:rPr>
              <w:t xml:space="preserve">Christine Hodgson, Chairman of Severn Trent, is Chair of The Careers &amp; Enterprise Company. Other board members include Steve Holliday; former Chief Executive of National Grid plc, Brian Lightman, former General Secretary of ASCL; Dame Julia </w:t>
            </w:r>
            <w:proofErr w:type="spellStart"/>
            <w:r w:rsidRPr="00885753">
              <w:rPr>
                <w:rFonts w:cstheme="minorHAnsi"/>
                <w:bCs/>
              </w:rPr>
              <w:t>Cleverdon</w:t>
            </w:r>
            <w:proofErr w:type="spellEnd"/>
            <w:r w:rsidRPr="00885753">
              <w:rPr>
                <w:rFonts w:cstheme="minorHAnsi"/>
                <w:bCs/>
              </w:rPr>
              <w:t xml:space="preserve"> DCVO, CBE, Vice President of Business in the Community and Special Adviser to The Prince’s Charities; Mo </w:t>
            </w:r>
            <w:proofErr w:type="spellStart"/>
            <w:r w:rsidRPr="00885753">
              <w:rPr>
                <w:rFonts w:cstheme="minorHAnsi"/>
                <w:bCs/>
              </w:rPr>
              <w:t>Isap</w:t>
            </w:r>
            <w:proofErr w:type="spellEnd"/>
            <w:r w:rsidRPr="00885753">
              <w:rPr>
                <w:rFonts w:cstheme="minorHAnsi"/>
                <w:bCs/>
              </w:rPr>
              <w:t>, Chair of the Greater Manchester Careers and Employability Board</w:t>
            </w:r>
            <w:r>
              <w:rPr>
                <w:rFonts w:cstheme="minorHAnsi"/>
                <w:bCs/>
              </w:rPr>
              <w:t xml:space="preserve">; </w:t>
            </w:r>
            <w:r w:rsidRPr="00885753">
              <w:rPr>
                <w:rFonts w:cstheme="minorHAnsi"/>
                <w:bCs/>
              </w:rPr>
              <w:t>David Baldwin, current Head Teacher of Churchill Community College</w:t>
            </w:r>
            <w:r>
              <w:rPr>
                <w:rFonts w:cstheme="minorHAnsi"/>
                <w:bCs/>
              </w:rPr>
              <w:t xml:space="preserve"> and Lizzie Beale, </w:t>
            </w:r>
            <w:r w:rsidRPr="00975C6C">
              <w:rPr>
                <w:rFonts w:cstheme="minorHAnsi"/>
                <w:bCs/>
              </w:rPr>
              <w:t>youth board member</w:t>
            </w:r>
            <w:r>
              <w:rPr>
                <w:rFonts w:cstheme="minorHAnsi"/>
                <w:bCs/>
              </w:rPr>
              <w:t xml:space="preserve"> and </w:t>
            </w:r>
            <w:r w:rsidRPr="00975C6C">
              <w:rPr>
                <w:rFonts w:cstheme="minorHAnsi"/>
                <w:bCs/>
              </w:rPr>
              <w:t>Charity and Community Partnerships Manager</w:t>
            </w:r>
            <w:r>
              <w:rPr>
                <w:rFonts w:cstheme="minorHAnsi"/>
                <w:bCs/>
              </w:rPr>
              <w:t xml:space="preserve"> at Heathrow. </w:t>
            </w:r>
          </w:p>
          <w:p w14:paraId="1AA9B8B6" w14:textId="38FD5EC9" w:rsidR="0009279A" w:rsidRPr="00184E61" w:rsidRDefault="0009279A" w:rsidP="00184E61">
            <w:pPr>
              <w:spacing w:after="120"/>
              <w:jc w:val="both"/>
              <w:rPr>
                <w:rFonts w:cstheme="minorHAnsi"/>
                <w:bCs/>
              </w:rPr>
            </w:pPr>
            <w:r w:rsidRPr="00885753">
              <w:rPr>
                <w:rFonts w:cstheme="minorHAnsi"/>
                <w:bCs/>
              </w:rPr>
              <w:t xml:space="preserve">The company is led by Oli de Botton, </w:t>
            </w:r>
            <w:proofErr w:type="gramStart"/>
            <w:r w:rsidRPr="00885753">
              <w:rPr>
                <w:rFonts w:cstheme="minorHAnsi"/>
                <w:bCs/>
              </w:rPr>
              <w:t>CEO</w:t>
            </w:r>
            <w:proofErr w:type="gramEnd"/>
            <w:r w:rsidRPr="00885753">
              <w:rPr>
                <w:rFonts w:cstheme="minorHAnsi"/>
                <w:bCs/>
              </w:rPr>
              <w:t xml:space="preserve"> and former </w:t>
            </w:r>
            <w:r>
              <w:rPr>
                <w:rFonts w:cstheme="minorHAnsi"/>
                <w:bCs/>
              </w:rPr>
              <w:t xml:space="preserve">Founder &amp; </w:t>
            </w:r>
            <w:r w:rsidRPr="00885753">
              <w:rPr>
                <w:rFonts w:cstheme="minorHAnsi"/>
                <w:bCs/>
              </w:rPr>
              <w:t xml:space="preserve">Head Teacher at School 21 in East London. </w:t>
            </w:r>
          </w:p>
        </w:tc>
      </w:tr>
      <w:tr w:rsidR="0009279A" w:rsidRPr="00885753" w14:paraId="6F19E6AA" w14:textId="77777777" w:rsidTr="0009279A">
        <w:tc>
          <w:tcPr>
            <w:tcW w:w="9016" w:type="dxa"/>
            <w:gridSpan w:val="2"/>
            <w:tcBorders>
              <w:top w:val="nil"/>
              <w:left w:val="nil"/>
              <w:bottom w:val="nil"/>
              <w:right w:val="nil"/>
            </w:tcBorders>
            <w:shd w:val="clear" w:color="auto" w:fill="33CCCC"/>
          </w:tcPr>
          <w:p w14:paraId="6F7B7A90" w14:textId="77777777" w:rsidR="0009279A" w:rsidRPr="00885753" w:rsidRDefault="0009279A" w:rsidP="0009279A">
            <w:pPr>
              <w:rPr>
                <w:rFonts w:cstheme="minorHAnsi"/>
                <w:b/>
              </w:rPr>
            </w:pPr>
            <w:r w:rsidRPr="00885753">
              <w:rPr>
                <w:rFonts w:cstheme="minorHAnsi"/>
                <w:b/>
                <w:color w:val="FFFFFF" w:themeColor="background1"/>
              </w:rPr>
              <w:t xml:space="preserve">Role Summary </w:t>
            </w:r>
          </w:p>
        </w:tc>
      </w:tr>
      <w:tr w:rsidR="0009279A" w:rsidRPr="00885753" w14:paraId="34CD2F24" w14:textId="77777777" w:rsidTr="0009279A">
        <w:trPr>
          <w:trHeight w:val="1408"/>
        </w:trPr>
        <w:tc>
          <w:tcPr>
            <w:tcW w:w="9016" w:type="dxa"/>
            <w:gridSpan w:val="2"/>
            <w:tcBorders>
              <w:top w:val="nil"/>
              <w:left w:val="nil"/>
              <w:bottom w:val="nil"/>
              <w:right w:val="nil"/>
            </w:tcBorders>
          </w:tcPr>
          <w:p w14:paraId="4FB2E771" w14:textId="77777777" w:rsidR="0009279A" w:rsidRPr="00885753" w:rsidRDefault="0009279A" w:rsidP="0009279A">
            <w:pPr>
              <w:widowControl w:val="0"/>
              <w:autoSpaceDE w:val="0"/>
              <w:autoSpaceDN w:val="0"/>
              <w:adjustRightInd w:val="0"/>
              <w:jc w:val="both"/>
              <w:rPr>
                <w:rFonts w:cstheme="minorHAnsi"/>
                <w:lang w:val="en-US"/>
              </w:rPr>
            </w:pPr>
          </w:p>
          <w:p w14:paraId="1D65B23E" w14:textId="77777777" w:rsidR="0009279A" w:rsidRDefault="0009279A" w:rsidP="0009279A">
            <w:pPr>
              <w:spacing w:after="120"/>
              <w:jc w:val="both"/>
              <w:rPr>
                <w:rFonts w:cstheme="minorHAnsi"/>
                <w:bCs/>
              </w:rPr>
            </w:pPr>
            <w:r w:rsidRPr="00975C6C">
              <w:rPr>
                <w:rFonts w:cstheme="minorHAnsi"/>
                <w:bCs/>
              </w:rPr>
              <w:t xml:space="preserve">The Enterprise Coordinator (EC) sits at the heart of the local EAN </w:t>
            </w:r>
            <w:proofErr w:type="gramStart"/>
            <w:r w:rsidRPr="00975C6C">
              <w:rPr>
                <w:rFonts w:cstheme="minorHAnsi"/>
                <w:bCs/>
              </w:rPr>
              <w:t>in order to</w:t>
            </w:r>
            <w:proofErr w:type="gramEnd"/>
            <w:r w:rsidRPr="00975C6C">
              <w:rPr>
                <w:rFonts w:cstheme="minorHAnsi"/>
                <w:bCs/>
              </w:rPr>
              <w:t xml:space="preserve"> help schools and colleges improve their careers and enterprise </w:t>
            </w:r>
            <w:r>
              <w:rPr>
                <w:rFonts w:cstheme="minorHAnsi"/>
                <w:bCs/>
              </w:rPr>
              <w:t>programmes</w:t>
            </w:r>
            <w:r w:rsidRPr="00975C6C">
              <w:rPr>
                <w:rFonts w:cstheme="minorHAnsi"/>
                <w:bCs/>
              </w:rPr>
              <w:t xml:space="preserve"> and to engage with the world of work. </w:t>
            </w:r>
          </w:p>
          <w:p w14:paraId="6173C658" w14:textId="77777777" w:rsidR="0009279A" w:rsidRPr="00975C6C" w:rsidRDefault="0009279A" w:rsidP="0009279A">
            <w:pPr>
              <w:spacing w:after="120"/>
              <w:jc w:val="both"/>
              <w:rPr>
                <w:rFonts w:cstheme="minorHAnsi"/>
                <w:bCs/>
              </w:rPr>
            </w:pPr>
            <w:r w:rsidRPr="00975C6C">
              <w:rPr>
                <w:rFonts w:cstheme="minorHAnsi"/>
                <w:bCs/>
              </w:rPr>
              <w:t>Working closely with the Skills Lead</w:t>
            </w:r>
            <w:r>
              <w:rPr>
                <w:rFonts w:cstheme="minorHAnsi"/>
                <w:bCs/>
              </w:rPr>
              <w:t>/Hub Lead</w:t>
            </w:r>
            <w:r w:rsidRPr="00975C6C">
              <w:rPr>
                <w:rFonts w:cstheme="minorHAnsi"/>
                <w:bCs/>
              </w:rPr>
              <w:t>, the EC will ensure the EAN is embedded into the LEP</w:t>
            </w:r>
            <w:r>
              <w:rPr>
                <w:rFonts w:cstheme="minorHAnsi"/>
                <w:bCs/>
              </w:rPr>
              <w:t>/Combined Authority/Local Authority</w:t>
            </w:r>
            <w:r w:rsidRPr="00975C6C">
              <w:rPr>
                <w:rFonts w:cstheme="minorHAnsi"/>
                <w:bCs/>
              </w:rPr>
              <w:t xml:space="preserve"> skills strategy and make it easier for employers to engage with schools and colleges. Through establishing the local and national contexts the EC will focus everyone’s efforts on programmes and activities that are most effective in motivating young people, supporting independent choice, and supporting positive outcomes for young people.</w:t>
            </w:r>
          </w:p>
          <w:p w14:paraId="318D054C" w14:textId="77777777" w:rsidR="0009279A" w:rsidRPr="00975C6C" w:rsidRDefault="0009279A" w:rsidP="0009279A">
            <w:pPr>
              <w:spacing w:after="120"/>
              <w:jc w:val="both"/>
              <w:rPr>
                <w:rFonts w:cstheme="minorHAnsi"/>
                <w:bCs/>
              </w:rPr>
            </w:pPr>
            <w:r w:rsidRPr="00975C6C">
              <w:rPr>
                <w:rFonts w:cstheme="minorHAnsi"/>
                <w:bCs/>
              </w:rPr>
              <w:t>1.</w:t>
            </w:r>
            <w:r w:rsidRPr="00975C6C">
              <w:rPr>
                <w:rFonts w:cstheme="minorHAnsi"/>
                <w:bCs/>
              </w:rPr>
              <w:tab/>
              <w:t>Building Networks</w:t>
            </w:r>
          </w:p>
          <w:p w14:paraId="0A10FA99" w14:textId="77777777" w:rsidR="0009279A" w:rsidRPr="00975C6C" w:rsidRDefault="0009279A" w:rsidP="0009279A">
            <w:pPr>
              <w:spacing w:after="120"/>
              <w:jc w:val="both"/>
              <w:rPr>
                <w:rFonts w:cstheme="minorHAnsi"/>
                <w:bCs/>
              </w:rPr>
            </w:pPr>
            <w:r w:rsidRPr="00975C6C">
              <w:rPr>
                <w:rFonts w:cstheme="minorHAnsi"/>
                <w:bCs/>
              </w:rPr>
              <w:t>2.</w:t>
            </w:r>
            <w:r w:rsidRPr="00975C6C">
              <w:rPr>
                <w:rFonts w:cstheme="minorHAnsi"/>
                <w:bCs/>
              </w:rPr>
              <w:tab/>
              <w:t>Supporting Careers Leaders</w:t>
            </w:r>
          </w:p>
          <w:p w14:paraId="486A65B8" w14:textId="77777777" w:rsidR="0009279A" w:rsidRPr="00885753" w:rsidRDefault="0009279A" w:rsidP="0009279A">
            <w:pPr>
              <w:spacing w:after="120"/>
              <w:jc w:val="both"/>
              <w:rPr>
                <w:rFonts w:cstheme="minorHAnsi"/>
                <w:lang w:val="en-US"/>
              </w:rPr>
            </w:pPr>
            <w:r w:rsidRPr="00975C6C">
              <w:rPr>
                <w:rFonts w:cstheme="minorHAnsi"/>
                <w:bCs/>
              </w:rPr>
              <w:t>3.</w:t>
            </w:r>
            <w:r w:rsidRPr="00975C6C">
              <w:rPr>
                <w:rFonts w:cstheme="minorHAnsi"/>
                <w:bCs/>
              </w:rPr>
              <w:tab/>
              <w:t>Backing the Gatsby Benchmarks</w:t>
            </w:r>
          </w:p>
        </w:tc>
      </w:tr>
    </w:tbl>
    <w:p w14:paraId="395C225D" w14:textId="77777777" w:rsidR="004C15A5" w:rsidRPr="00885753" w:rsidRDefault="004C15A5">
      <w:pPr>
        <w:rPr>
          <w:rFonts w:cstheme="minorHAnsi"/>
        </w:rPr>
      </w:pPr>
      <w:r w:rsidRPr="00885753">
        <w:rPr>
          <w:rFonts w:cstheme="minorHAnsi"/>
        </w:rPr>
        <w:br w:type="page"/>
      </w:r>
    </w:p>
    <w:tbl>
      <w:tblPr>
        <w:tblStyle w:val="TableGrid"/>
        <w:tblW w:w="0" w:type="auto"/>
        <w:tblLook w:val="04A0" w:firstRow="1" w:lastRow="0" w:firstColumn="1" w:lastColumn="0" w:noHBand="0" w:noVBand="1"/>
      </w:tblPr>
      <w:tblGrid>
        <w:gridCol w:w="9016"/>
      </w:tblGrid>
      <w:tr w:rsidR="00E20C58" w:rsidRPr="00885753" w14:paraId="38C0552F" w14:textId="77777777" w:rsidTr="00CF6271">
        <w:tc>
          <w:tcPr>
            <w:tcW w:w="9016" w:type="dxa"/>
            <w:tcBorders>
              <w:top w:val="nil"/>
              <w:left w:val="nil"/>
              <w:bottom w:val="nil"/>
              <w:right w:val="nil"/>
            </w:tcBorders>
            <w:shd w:val="clear" w:color="auto" w:fill="33CCCC"/>
          </w:tcPr>
          <w:p w14:paraId="18FCE3EA" w14:textId="6C4BF753" w:rsidR="00E20C58" w:rsidRPr="00885753" w:rsidRDefault="00FE6474" w:rsidP="00CF6271">
            <w:pPr>
              <w:rPr>
                <w:rFonts w:cstheme="minorHAnsi"/>
                <w:b/>
                <w:lang w:val="en-US"/>
              </w:rPr>
            </w:pPr>
            <w:r w:rsidRPr="00885753">
              <w:rPr>
                <w:rFonts w:cstheme="minorHAnsi"/>
                <w:b/>
                <w:color w:val="FFFFFF" w:themeColor="background1"/>
                <w:lang w:val="en-US"/>
              </w:rPr>
              <w:lastRenderedPageBreak/>
              <w:t>Key Responsibilities</w:t>
            </w:r>
          </w:p>
        </w:tc>
      </w:tr>
      <w:tr w:rsidR="008347F3" w:rsidRPr="00885753" w14:paraId="29EDE83A" w14:textId="77777777" w:rsidTr="006C4FE6">
        <w:tc>
          <w:tcPr>
            <w:tcW w:w="9016" w:type="dxa"/>
            <w:tcBorders>
              <w:top w:val="nil"/>
              <w:left w:val="nil"/>
              <w:bottom w:val="nil"/>
              <w:right w:val="nil"/>
            </w:tcBorders>
          </w:tcPr>
          <w:p w14:paraId="6514FABA" w14:textId="77777777" w:rsidR="00D06568" w:rsidRPr="00885753" w:rsidRDefault="00D06568" w:rsidP="00D06568">
            <w:pPr>
              <w:rPr>
                <w:rFonts w:cstheme="minorHAnsi"/>
              </w:rPr>
            </w:pPr>
          </w:p>
          <w:p w14:paraId="0FF32813" w14:textId="77777777" w:rsidR="000052D5" w:rsidRPr="000052D5" w:rsidRDefault="000052D5" w:rsidP="000052D5">
            <w:pPr>
              <w:spacing w:after="120"/>
              <w:jc w:val="both"/>
              <w:rPr>
                <w:rFonts w:cstheme="minorHAnsi"/>
                <w:b/>
              </w:rPr>
            </w:pPr>
            <w:r w:rsidRPr="000052D5">
              <w:rPr>
                <w:rFonts w:cstheme="minorHAnsi"/>
                <w:b/>
              </w:rPr>
              <w:t>Establishing and developing your Network</w:t>
            </w:r>
          </w:p>
          <w:p w14:paraId="50022C51" w14:textId="2BDF3BE8" w:rsidR="00D0094C" w:rsidRPr="00D0094C" w:rsidRDefault="000052D5" w:rsidP="00D0094C">
            <w:pPr>
              <w:pStyle w:val="ListParagraph"/>
              <w:numPr>
                <w:ilvl w:val="0"/>
                <w:numId w:val="39"/>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Establishing and growing the EAN/Careers Hub locally by engaging and supporting a caseload of c.20 schools and Enterprise Advisers</w:t>
            </w:r>
            <w:r w:rsidR="003D222D">
              <w:rPr>
                <w:rFonts w:asciiTheme="minorHAnsi" w:hAnsiTheme="minorHAnsi" w:cstheme="minorHAnsi"/>
                <w:bCs/>
                <w:sz w:val="22"/>
                <w:szCs w:val="22"/>
              </w:rPr>
              <w:t xml:space="preserve"> (EAs)</w:t>
            </w:r>
            <w:r w:rsidRPr="00D0094C">
              <w:rPr>
                <w:rFonts w:asciiTheme="minorHAnsi" w:hAnsiTheme="minorHAnsi" w:cstheme="minorHAnsi"/>
                <w:bCs/>
                <w:sz w:val="22"/>
                <w:szCs w:val="22"/>
              </w:rPr>
              <w:t xml:space="preserve"> (or c.15 schools and colleges in a Careers Hub).</w:t>
            </w:r>
          </w:p>
          <w:p w14:paraId="24A14E1F" w14:textId="77777777" w:rsidR="003139B5" w:rsidRDefault="000052D5" w:rsidP="00D0094C">
            <w:pPr>
              <w:pStyle w:val="ListParagraph"/>
              <w:numPr>
                <w:ilvl w:val="0"/>
                <w:numId w:val="39"/>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Building and maintaining effective relationships with senior leaders in local schools and colleges within the caseload. </w:t>
            </w:r>
          </w:p>
          <w:p w14:paraId="3F2CACE7" w14:textId="77777777" w:rsidR="00121123" w:rsidRDefault="003139B5" w:rsidP="00D0094C">
            <w:pPr>
              <w:pStyle w:val="ListParagraph"/>
              <w:numPr>
                <w:ilvl w:val="0"/>
                <w:numId w:val="39"/>
              </w:numPr>
              <w:spacing w:after="120"/>
              <w:jc w:val="both"/>
              <w:rPr>
                <w:rFonts w:asciiTheme="minorHAnsi" w:hAnsiTheme="minorHAnsi" w:cstheme="minorHAnsi"/>
                <w:bCs/>
                <w:sz w:val="22"/>
                <w:szCs w:val="22"/>
              </w:rPr>
            </w:pPr>
            <w:r>
              <w:rPr>
                <w:rFonts w:asciiTheme="minorHAnsi" w:hAnsiTheme="minorHAnsi" w:cstheme="minorHAnsi"/>
                <w:bCs/>
                <w:sz w:val="22"/>
                <w:szCs w:val="22"/>
              </w:rPr>
              <w:t>Leading and coordinating relationships between the EA, the school/college and the wider EAN with a focus on impact and destination outcomes for young people.</w:t>
            </w:r>
          </w:p>
          <w:p w14:paraId="34AE472A" w14:textId="17BD78F8" w:rsidR="000052D5" w:rsidRPr="0051057F" w:rsidRDefault="00121123" w:rsidP="0051057F">
            <w:pPr>
              <w:pStyle w:val="ListParagraph"/>
              <w:numPr>
                <w:ilvl w:val="0"/>
                <w:numId w:val="39"/>
              </w:num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Ensuring all schools and colleges are completing compass evaluations, driving Gatsby Benchmark performance and therefore all young people are benefiting from high quality careers education. </w:t>
            </w:r>
          </w:p>
          <w:p w14:paraId="4545C8F9" w14:textId="6114D80F" w:rsidR="000052D5" w:rsidRPr="00D0094C" w:rsidRDefault="000052D5" w:rsidP="00D0094C">
            <w:pPr>
              <w:pStyle w:val="ListParagraph"/>
              <w:numPr>
                <w:ilvl w:val="0"/>
                <w:numId w:val="39"/>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Acting as an ambassador for The Careers &amp; Enterprise Company including raising the profile of the EAN/Careers Hub through communication and marketing channels </w:t>
            </w:r>
            <w:r w:rsidR="00121123" w:rsidRPr="00D0094C">
              <w:rPr>
                <w:rFonts w:asciiTheme="minorHAnsi" w:hAnsiTheme="minorHAnsi" w:cstheme="minorHAnsi"/>
                <w:bCs/>
                <w:sz w:val="22"/>
                <w:szCs w:val="22"/>
              </w:rPr>
              <w:t>to</w:t>
            </w:r>
            <w:r w:rsidRPr="00D0094C">
              <w:rPr>
                <w:rFonts w:asciiTheme="minorHAnsi" w:hAnsiTheme="minorHAnsi" w:cstheme="minorHAnsi"/>
                <w:bCs/>
                <w:sz w:val="22"/>
                <w:szCs w:val="22"/>
              </w:rPr>
              <w:t xml:space="preserve"> engage with key local stakeholders.</w:t>
            </w:r>
          </w:p>
          <w:p w14:paraId="213BE182" w14:textId="5AD690C4" w:rsidR="000052D5" w:rsidRDefault="000052D5" w:rsidP="00D0094C">
            <w:pPr>
              <w:pStyle w:val="ListParagraph"/>
              <w:numPr>
                <w:ilvl w:val="0"/>
                <w:numId w:val="39"/>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Cascading learning from The Careers &amp; Enterprise Company by delivering CPD sessions to school and business audiences. </w:t>
            </w:r>
          </w:p>
          <w:p w14:paraId="747CA4C3" w14:textId="77777777" w:rsidR="0051057F" w:rsidRPr="00D0094C" w:rsidRDefault="0051057F" w:rsidP="0051057F">
            <w:pPr>
              <w:pStyle w:val="ListParagraph"/>
              <w:spacing w:after="120"/>
              <w:jc w:val="both"/>
              <w:rPr>
                <w:rFonts w:asciiTheme="minorHAnsi" w:hAnsiTheme="minorHAnsi" w:cstheme="minorHAnsi"/>
                <w:bCs/>
                <w:sz w:val="22"/>
                <w:szCs w:val="22"/>
              </w:rPr>
            </w:pPr>
          </w:p>
          <w:p w14:paraId="0D5ED5CE" w14:textId="77777777" w:rsidR="000052D5" w:rsidRPr="000052D5" w:rsidRDefault="000052D5" w:rsidP="000052D5">
            <w:pPr>
              <w:spacing w:after="120"/>
              <w:jc w:val="both"/>
              <w:rPr>
                <w:rFonts w:cstheme="minorHAnsi"/>
                <w:b/>
                <w:bCs/>
              </w:rPr>
            </w:pPr>
            <w:r w:rsidRPr="000052D5">
              <w:rPr>
                <w:rFonts w:cstheme="minorHAnsi"/>
                <w:b/>
                <w:bCs/>
              </w:rPr>
              <w:t>Enterprise Advisers</w:t>
            </w:r>
          </w:p>
          <w:p w14:paraId="0A3CF6D6" w14:textId="58E09345" w:rsidR="000052D5" w:rsidRPr="00D0094C" w:rsidRDefault="000052D5" w:rsidP="00D0094C">
            <w:pPr>
              <w:pStyle w:val="ListParagraph"/>
              <w:numPr>
                <w:ilvl w:val="0"/>
                <w:numId w:val="38"/>
              </w:numPr>
              <w:spacing w:after="120"/>
              <w:jc w:val="both"/>
              <w:rPr>
                <w:rFonts w:asciiTheme="minorHAnsi" w:hAnsiTheme="minorHAnsi" w:cstheme="minorHAnsi"/>
                <w:bCs/>
                <w:sz w:val="22"/>
                <w:szCs w:val="22"/>
              </w:rPr>
            </w:pPr>
            <w:r w:rsidRPr="00D0094C">
              <w:rPr>
                <w:rFonts w:asciiTheme="minorHAnsi" w:hAnsiTheme="minorHAnsi" w:cstheme="minorHAnsi"/>
                <w:sz w:val="22"/>
                <w:szCs w:val="22"/>
              </w:rPr>
              <w:t>Lead</w:t>
            </w:r>
            <w:r w:rsidR="003D222D">
              <w:rPr>
                <w:rFonts w:asciiTheme="minorHAnsi" w:hAnsiTheme="minorHAnsi" w:cstheme="minorHAnsi"/>
                <w:sz w:val="22"/>
                <w:szCs w:val="22"/>
              </w:rPr>
              <w:t>ing</w:t>
            </w:r>
            <w:r w:rsidRPr="00D0094C">
              <w:rPr>
                <w:rFonts w:asciiTheme="minorHAnsi" w:hAnsiTheme="minorHAnsi" w:cstheme="minorHAnsi"/>
                <w:sz w:val="22"/>
                <w:szCs w:val="22"/>
              </w:rPr>
              <w:t xml:space="preserve"> on the recruitment of Enterprise Advisers, encouraging diversity in </w:t>
            </w:r>
            <w:proofErr w:type="gramStart"/>
            <w:r w:rsidRPr="00D0094C">
              <w:rPr>
                <w:rFonts w:asciiTheme="minorHAnsi" w:hAnsiTheme="minorHAnsi" w:cstheme="minorHAnsi"/>
                <w:sz w:val="22"/>
                <w:szCs w:val="22"/>
              </w:rPr>
              <w:t>recruitment</w:t>
            </w:r>
            <w:proofErr w:type="gramEnd"/>
            <w:r w:rsidRPr="00D0094C">
              <w:rPr>
                <w:rFonts w:asciiTheme="minorHAnsi" w:hAnsiTheme="minorHAnsi" w:cstheme="minorHAnsi"/>
                <w:sz w:val="22"/>
                <w:szCs w:val="22"/>
              </w:rPr>
              <w:t xml:space="preserve"> and tracking the representation</w:t>
            </w:r>
            <w:r w:rsidRPr="00D0094C">
              <w:rPr>
                <w:rFonts w:asciiTheme="minorHAnsi" w:hAnsiTheme="minorHAnsi" w:cstheme="minorHAnsi"/>
                <w:bCs/>
                <w:sz w:val="22"/>
                <w:szCs w:val="22"/>
              </w:rPr>
              <w:t xml:space="preserve"> of local sectors</w:t>
            </w:r>
          </w:p>
          <w:p w14:paraId="41D61E01" w14:textId="567838FA" w:rsidR="000052D5" w:rsidRPr="00D0094C" w:rsidRDefault="000052D5" w:rsidP="00D0094C">
            <w:pPr>
              <w:pStyle w:val="ListParagraph"/>
              <w:numPr>
                <w:ilvl w:val="0"/>
                <w:numId w:val="38"/>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Successfully match Enterprise Advisers to schools and colleges within the </w:t>
            </w:r>
            <w:r w:rsidR="00121123" w:rsidRPr="00D0094C">
              <w:rPr>
                <w:rFonts w:asciiTheme="minorHAnsi" w:hAnsiTheme="minorHAnsi" w:cstheme="minorHAnsi"/>
                <w:bCs/>
                <w:sz w:val="22"/>
                <w:szCs w:val="22"/>
              </w:rPr>
              <w:t>EAN /</w:t>
            </w:r>
            <w:r w:rsidRPr="00D0094C">
              <w:rPr>
                <w:rFonts w:asciiTheme="minorHAnsi" w:hAnsiTheme="minorHAnsi" w:cstheme="minorHAnsi"/>
                <w:bCs/>
                <w:sz w:val="22"/>
                <w:szCs w:val="22"/>
              </w:rPr>
              <w:t xml:space="preserve">Careers Hub and provide on-going support to EAs in scoping, </w:t>
            </w:r>
            <w:proofErr w:type="gramStart"/>
            <w:r w:rsidRPr="00D0094C">
              <w:rPr>
                <w:rFonts w:asciiTheme="minorHAnsi" w:hAnsiTheme="minorHAnsi" w:cstheme="minorHAnsi"/>
                <w:bCs/>
                <w:sz w:val="22"/>
                <w:szCs w:val="22"/>
              </w:rPr>
              <w:t>identifying</w:t>
            </w:r>
            <w:proofErr w:type="gramEnd"/>
            <w:r w:rsidRPr="00D0094C">
              <w:rPr>
                <w:rFonts w:asciiTheme="minorHAnsi" w:hAnsiTheme="minorHAnsi" w:cstheme="minorHAnsi"/>
                <w:bCs/>
                <w:sz w:val="22"/>
                <w:szCs w:val="22"/>
              </w:rPr>
              <w:t xml:space="preserve"> and addressing the needs of their matched school.</w:t>
            </w:r>
          </w:p>
          <w:p w14:paraId="5FD62FA8" w14:textId="3AA76B9A" w:rsidR="000052D5" w:rsidRPr="00D0094C" w:rsidRDefault="000052D5" w:rsidP="00D0094C">
            <w:pPr>
              <w:pStyle w:val="ListParagraph"/>
              <w:numPr>
                <w:ilvl w:val="0"/>
                <w:numId w:val="38"/>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Responsible for the smooth induction of Enterprise Advisers and for tracking the time to match them to a suitable school/college, with a target of no longer than 3 months</w:t>
            </w:r>
          </w:p>
          <w:p w14:paraId="36EF178C" w14:textId="29D465DA" w:rsidR="000052D5" w:rsidRPr="00D0094C" w:rsidRDefault="000052D5" w:rsidP="00D0094C">
            <w:pPr>
              <w:pStyle w:val="ListParagraph"/>
              <w:numPr>
                <w:ilvl w:val="0"/>
                <w:numId w:val="38"/>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Responsible for tracking 100% completion of all DBS checks for EAs prior to them working with a school/college and within no more than 3 months of confirming them in post</w:t>
            </w:r>
          </w:p>
          <w:p w14:paraId="0D6735B2" w14:textId="6CC9CCD1" w:rsidR="000052D5" w:rsidRDefault="000052D5" w:rsidP="00D0094C">
            <w:pPr>
              <w:pStyle w:val="ListParagraph"/>
              <w:numPr>
                <w:ilvl w:val="0"/>
                <w:numId w:val="38"/>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Overview of the source of all EA referrals to support the generation of additional EAs where there are opportunities </w:t>
            </w:r>
          </w:p>
          <w:p w14:paraId="14C3510F" w14:textId="77777777" w:rsidR="0051057F" w:rsidRPr="00D0094C" w:rsidRDefault="0051057F" w:rsidP="0051057F">
            <w:pPr>
              <w:pStyle w:val="ListParagraph"/>
              <w:spacing w:after="120"/>
              <w:jc w:val="both"/>
              <w:rPr>
                <w:rFonts w:asciiTheme="minorHAnsi" w:hAnsiTheme="minorHAnsi" w:cstheme="minorHAnsi"/>
                <w:bCs/>
                <w:sz w:val="22"/>
                <w:szCs w:val="22"/>
              </w:rPr>
            </w:pPr>
          </w:p>
          <w:p w14:paraId="6C98BE59" w14:textId="1AF68877" w:rsidR="000052D5" w:rsidRPr="000052D5" w:rsidRDefault="000052D5" w:rsidP="000052D5">
            <w:pPr>
              <w:spacing w:after="120"/>
              <w:jc w:val="both"/>
              <w:rPr>
                <w:rFonts w:cstheme="minorHAnsi"/>
                <w:b/>
              </w:rPr>
            </w:pPr>
            <w:r w:rsidRPr="000052D5">
              <w:rPr>
                <w:rFonts w:cstheme="minorHAnsi"/>
                <w:b/>
              </w:rPr>
              <w:t xml:space="preserve">Building Careers and Enterprise </w:t>
            </w:r>
            <w:r w:rsidR="003139B5">
              <w:rPr>
                <w:rFonts w:cstheme="minorHAnsi"/>
                <w:b/>
              </w:rPr>
              <w:t xml:space="preserve">Networks – working nationally, tailoring locally. </w:t>
            </w:r>
          </w:p>
          <w:p w14:paraId="3ACB503F" w14:textId="7DD98298"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Supporting EAs and Careers Leaders including induction</w:t>
            </w:r>
            <w:r w:rsidR="003D222D">
              <w:rPr>
                <w:rFonts w:asciiTheme="minorHAnsi" w:hAnsiTheme="minorHAnsi" w:cstheme="minorHAnsi"/>
                <w:bCs/>
                <w:sz w:val="22"/>
                <w:szCs w:val="22"/>
              </w:rPr>
              <w:t xml:space="preserve"> and</w:t>
            </w:r>
            <w:r w:rsidRPr="00D0094C">
              <w:rPr>
                <w:rFonts w:asciiTheme="minorHAnsi" w:hAnsiTheme="minorHAnsi" w:cstheme="minorHAnsi"/>
                <w:bCs/>
                <w:sz w:val="22"/>
                <w:szCs w:val="22"/>
              </w:rPr>
              <w:t xml:space="preserve"> training, coordinating network </w:t>
            </w:r>
            <w:proofErr w:type="gramStart"/>
            <w:r w:rsidRPr="00D0094C">
              <w:rPr>
                <w:rFonts w:asciiTheme="minorHAnsi" w:hAnsiTheme="minorHAnsi" w:cstheme="minorHAnsi"/>
                <w:bCs/>
                <w:sz w:val="22"/>
                <w:szCs w:val="22"/>
              </w:rPr>
              <w:t>meetings</w:t>
            </w:r>
            <w:proofErr w:type="gramEnd"/>
            <w:r w:rsidRPr="00D0094C">
              <w:rPr>
                <w:rFonts w:asciiTheme="minorHAnsi" w:hAnsiTheme="minorHAnsi" w:cstheme="minorHAnsi"/>
                <w:bCs/>
                <w:sz w:val="22"/>
                <w:szCs w:val="22"/>
              </w:rPr>
              <w:t xml:space="preserve"> and identifying and delivering ongoing training to meet individual EAs’ and CL’s development needs.</w:t>
            </w:r>
          </w:p>
          <w:p w14:paraId="24D25ABA" w14:textId="63944971"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Organise and attend regular EA/CL meetings to ensure progress is being made across all benchmarks and school priorities addressed.</w:t>
            </w:r>
          </w:p>
          <w:p w14:paraId="34EF633E" w14:textId="3F215D1B"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Establishing methods of recognising and highlighting best practise to ensure the network is accessing and delivering the most impactful activities.</w:t>
            </w:r>
          </w:p>
          <w:p w14:paraId="5EBF1AE9" w14:textId="2639A0F8"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Supporting The</w:t>
            </w:r>
            <w:r w:rsidR="00121123">
              <w:rPr>
                <w:rFonts w:asciiTheme="minorHAnsi" w:hAnsiTheme="minorHAnsi" w:cstheme="minorHAnsi"/>
                <w:bCs/>
                <w:sz w:val="22"/>
                <w:szCs w:val="22"/>
              </w:rPr>
              <w:t xml:space="preserve"> </w:t>
            </w:r>
            <w:r w:rsidRPr="00D0094C">
              <w:rPr>
                <w:rFonts w:asciiTheme="minorHAnsi" w:hAnsiTheme="minorHAnsi" w:cstheme="minorHAnsi"/>
                <w:bCs/>
                <w:sz w:val="22"/>
                <w:szCs w:val="22"/>
              </w:rPr>
              <w:t>Careers &amp; Enterprise Company grant recipients to ensure they are coordinating delivery with the LEP/CA/LA and local EAN/Careers Hub and providing feedback on them to your Regional Lead and the Education Development Team.</w:t>
            </w:r>
          </w:p>
          <w:p w14:paraId="6478513B" w14:textId="3EF0CE17"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Building and understanding the local context of careers provision and providers including NAS, NCS, and JCP and how these fit with the national context.</w:t>
            </w:r>
          </w:p>
          <w:p w14:paraId="76D1368C" w14:textId="46E80FF7"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As per The Careers &amp; Enterprise Company reporting cycle, contribute to the monitoring and impact tracking of the EAN/Careers Hub by submitting the EAN Register.</w:t>
            </w:r>
          </w:p>
          <w:p w14:paraId="53268B33" w14:textId="41F42169" w:rsidR="000052D5" w:rsidRPr="00D0094C" w:rsidRDefault="000052D5" w:rsidP="00D0094C">
            <w:pPr>
              <w:pStyle w:val="ListParagraph"/>
              <w:numPr>
                <w:ilvl w:val="0"/>
                <w:numId w:val="36"/>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lastRenderedPageBreak/>
              <w:t>Attending The Careers &amp; Enterprise Company EC national and local training events and meetings to keep up to date with The Careers &amp; Enterprise Company and EAN/Careers Hub developments.</w:t>
            </w:r>
          </w:p>
          <w:p w14:paraId="08B70490" w14:textId="24096BEA" w:rsidR="000052D5" w:rsidRPr="0051057F" w:rsidRDefault="000052D5" w:rsidP="00D0094C">
            <w:pPr>
              <w:pStyle w:val="ListParagraph"/>
              <w:numPr>
                <w:ilvl w:val="0"/>
                <w:numId w:val="36"/>
              </w:numPr>
              <w:spacing w:after="120"/>
              <w:jc w:val="both"/>
              <w:rPr>
                <w:rFonts w:asciiTheme="minorHAnsi" w:hAnsiTheme="minorHAnsi" w:cstheme="minorHAnsi"/>
                <w:b/>
                <w:sz w:val="22"/>
                <w:szCs w:val="22"/>
              </w:rPr>
            </w:pPr>
            <w:r w:rsidRPr="00D0094C">
              <w:rPr>
                <w:rFonts w:asciiTheme="minorHAnsi" w:hAnsiTheme="minorHAnsi" w:cstheme="minorHAnsi"/>
                <w:bCs/>
                <w:sz w:val="22"/>
                <w:szCs w:val="22"/>
              </w:rPr>
              <w:t xml:space="preserve">Keeping </w:t>
            </w:r>
            <w:r w:rsidR="00121123" w:rsidRPr="00D0094C">
              <w:rPr>
                <w:rFonts w:asciiTheme="minorHAnsi" w:hAnsiTheme="minorHAnsi" w:cstheme="minorHAnsi"/>
                <w:bCs/>
                <w:sz w:val="22"/>
                <w:szCs w:val="22"/>
              </w:rPr>
              <w:t>up to date</w:t>
            </w:r>
            <w:r w:rsidRPr="00D0094C">
              <w:rPr>
                <w:rFonts w:asciiTheme="minorHAnsi" w:hAnsiTheme="minorHAnsi" w:cstheme="minorHAnsi"/>
                <w:bCs/>
                <w:sz w:val="22"/>
                <w:szCs w:val="22"/>
              </w:rPr>
              <w:t xml:space="preserve"> on the progress and success of the EAN/Careers Hub and sharing this knowledge across the local and national network, the latter in the form of case studies to your Regional Lead</w:t>
            </w:r>
          </w:p>
          <w:p w14:paraId="187DC415" w14:textId="77777777" w:rsidR="0051057F" w:rsidRPr="00D0094C" w:rsidRDefault="0051057F" w:rsidP="0051057F">
            <w:pPr>
              <w:pStyle w:val="ListParagraph"/>
              <w:spacing w:after="120"/>
              <w:jc w:val="both"/>
              <w:rPr>
                <w:rFonts w:asciiTheme="minorHAnsi" w:hAnsiTheme="minorHAnsi" w:cstheme="minorHAnsi"/>
                <w:b/>
                <w:sz w:val="22"/>
                <w:szCs w:val="22"/>
              </w:rPr>
            </w:pPr>
          </w:p>
          <w:p w14:paraId="00199730" w14:textId="77777777" w:rsidR="000052D5" w:rsidRPr="000052D5" w:rsidRDefault="000052D5" w:rsidP="000052D5">
            <w:pPr>
              <w:spacing w:after="120"/>
              <w:jc w:val="both"/>
              <w:rPr>
                <w:rFonts w:cstheme="minorHAnsi"/>
                <w:b/>
              </w:rPr>
            </w:pPr>
            <w:r w:rsidRPr="000052D5">
              <w:rPr>
                <w:rFonts w:cstheme="minorHAnsi"/>
                <w:b/>
              </w:rPr>
              <w:t>Implementation and Impact</w:t>
            </w:r>
          </w:p>
          <w:p w14:paraId="70C9B1F9" w14:textId="02C4A5DE" w:rsidR="000052D5" w:rsidRPr="00D0094C" w:rsidRDefault="000052D5" w:rsidP="00D0094C">
            <w:pPr>
              <w:pStyle w:val="ListParagraph"/>
              <w:numPr>
                <w:ilvl w:val="0"/>
                <w:numId w:val="34"/>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Regularly reviewing the network to ensure the members (at all levels) remain engaged and proactive, via communications, </w:t>
            </w:r>
            <w:proofErr w:type="gramStart"/>
            <w:r w:rsidRPr="00D0094C">
              <w:rPr>
                <w:rFonts w:asciiTheme="minorHAnsi" w:hAnsiTheme="minorHAnsi" w:cstheme="minorHAnsi"/>
                <w:bCs/>
                <w:sz w:val="22"/>
                <w:szCs w:val="22"/>
              </w:rPr>
              <w:t>training</w:t>
            </w:r>
            <w:proofErr w:type="gramEnd"/>
            <w:r w:rsidRPr="00D0094C">
              <w:rPr>
                <w:rFonts w:asciiTheme="minorHAnsi" w:hAnsiTheme="minorHAnsi" w:cstheme="minorHAnsi"/>
                <w:bCs/>
                <w:sz w:val="22"/>
                <w:szCs w:val="22"/>
              </w:rPr>
              <w:t xml:space="preserve"> and support.</w:t>
            </w:r>
          </w:p>
          <w:p w14:paraId="04BD9DBD" w14:textId="70B972B8" w:rsidR="000052D5" w:rsidRPr="00D0094C" w:rsidRDefault="000052D5" w:rsidP="00D0094C">
            <w:pPr>
              <w:pStyle w:val="ListParagraph"/>
              <w:numPr>
                <w:ilvl w:val="0"/>
                <w:numId w:val="34"/>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Staying abreast of best practise examples, emerging guidance and legislation and considering the differing audiences you will need to cascade this information to.</w:t>
            </w:r>
          </w:p>
          <w:p w14:paraId="79591BB8" w14:textId="2B273FC6" w:rsidR="000052D5" w:rsidRPr="00D0094C" w:rsidRDefault="000052D5" w:rsidP="00D0094C">
            <w:pPr>
              <w:pStyle w:val="ListParagraph"/>
              <w:numPr>
                <w:ilvl w:val="0"/>
                <w:numId w:val="34"/>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Track the progress of your schools/colleges (using a variety of tools and resources), identifying trends, </w:t>
            </w:r>
            <w:proofErr w:type="gramStart"/>
            <w:r w:rsidRPr="00D0094C">
              <w:rPr>
                <w:rFonts w:asciiTheme="minorHAnsi" w:hAnsiTheme="minorHAnsi" w:cstheme="minorHAnsi"/>
                <w:bCs/>
                <w:sz w:val="22"/>
                <w:szCs w:val="22"/>
              </w:rPr>
              <w:t>gaps</w:t>
            </w:r>
            <w:proofErr w:type="gramEnd"/>
            <w:r w:rsidRPr="00D0094C">
              <w:rPr>
                <w:rFonts w:asciiTheme="minorHAnsi" w:hAnsiTheme="minorHAnsi" w:cstheme="minorHAnsi"/>
                <w:bCs/>
                <w:sz w:val="22"/>
                <w:szCs w:val="22"/>
              </w:rPr>
              <w:t xml:space="preserve"> and solutions.</w:t>
            </w:r>
          </w:p>
          <w:p w14:paraId="6A896DA8" w14:textId="364730D3" w:rsidR="000052D5" w:rsidRPr="00D0094C" w:rsidRDefault="000052D5" w:rsidP="00D0094C">
            <w:pPr>
              <w:pStyle w:val="ListParagraph"/>
              <w:numPr>
                <w:ilvl w:val="0"/>
                <w:numId w:val="34"/>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Analysing and understanding the impact of the network on your local economy and skills strategy and feeding information back to The Careers &amp; Enterprise Company.</w:t>
            </w:r>
          </w:p>
          <w:p w14:paraId="3540C423" w14:textId="538A78E9" w:rsidR="000052D5" w:rsidRPr="00D0094C" w:rsidRDefault="000052D5" w:rsidP="00D0094C">
            <w:pPr>
              <w:pStyle w:val="ListParagraph"/>
              <w:numPr>
                <w:ilvl w:val="0"/>
                <w:numId w:val="34"/>
              </w:numPr>
              <w:spacing w:after="120"/>
              <w:jc w:val="both"/>
              <w:rPr>
                <w:rFonts w:asciiTheme="minorHAnsi" w:hAnsiTheme="minorHAnsi" w:cstheme="minorHAnsi"/>
                <w:bCs/>
                <w:sz w:val="22"/>
                <w:szCs w:val="22"/>
              </w:rPr>
            </w:pPr>
            <w:r w:rsidRPr="00D0094C">
              <w:rPr>
                <w:rFonts w:asciiTheme="minorHAnsi" w:hAnsiTheme="minorHAnsi" w:cstheme="minorHAnsi"/>
                <w:bCs/>
                <w:sz w:val="22"/>
                <w:szCs w:val="22"/>
              </w:rPr>
              <w:t xml:space="preserve">Recognising and monitoring risks within the network and ensuring a strategic approach </w:t>
            </w:r>
            <w:r w:rsidR="00121123">
              <w:rPr>
                <w:rFonts w:asciiTheme="minorHAnsi" w:hAnsiTheme="minorHAnsi" w:cstheme="minorHAnsi"/>
                <w:bCs/>
                <w:sz w:val="22"/>
                <w:szCs w:val="22"/>
              </w:rPr>
              <w:t xml:space="preserve">to careers and the EAN/Hub </w:t>
            </w:r>
            <w:r w:rsidRPr="00D0094C">
              <w:rPr>
                <w:rFonts w:asciiTheme="minorHAnsi" w:hAnsiTheme="minorHAnsi" w:cstheme="minorHAnsi"/>
                <w:bCs/>
                <w:sz w:val="22"/>
                <w:szCs w:val="22"/>
              </w:rPr>
              <w:t xml:space="preserve">is adopted with your </w:t>
            </w:r>
            <w:r w:rsidR="009C575B" w:rsidRPr="00D0094C">
              <w:rPr>
                <w:rFonts w:asciiTheme="minorHAnsi" w:hAnsiTheme="minorHAnsi" w:cstheme="minorHAnsi"/>
                <w:bCs/>
                <w:sz w:val="22"/>
                <w:szCs w:val="22"/>
              </w:rPr>
              <w:t>Skills Lead</w:t>
            </w:r>
            <w:r w:rsidRPr="00D0094C">
              <w:rPr>
                <w:rFonts w:asciiTheme="minorHAnsi" w:hAnsiTheme="minorHAnsi" w:cstheme="minorHAnsi"/>
                <w:bCs/>
                <w:sz w:val="22"/>
                <w:szCs w:val="22"/>
              </w:rPr>
              <w:t>, Hub Lead or Regional Lead.</w:t>
            </w:r>
          </w:p>
          <w:p w14:paraId="2B6A593B" w14:textId="7C141E06" w:rsidR="009018AC" w:rsidRPr="000052D5" w:rsidRDefault="009018AC" w:rsidP="000052D5">
            <w:pPr>
              <w:spacing w:after="120"/>
              <w:jc w:val="both"/>
              <w:rPr>
                <w:rFonts w:cstheme="minorHAnsi"/>
                <w:bCs/>
              </w:rPr>
            </w:pPr>
          </w:p>
        </w:tc>
      </w:tr>
      <w:tr w:rsidR="008347F3" w:rsidRPr="00885753" w14:paraId="4230ADF5" w14:textId="77777777" w:rsidTr="006C4FE6">
        <w:tc>
          <w:tcPr>
            <w:tcW w:w="9016" w:type="dxa"/>
            <w:tcBorders>
              <w:top w:val="nil"/>
              <w:left w:val="nil"/>
              <w:bottom w:val="nil"/>
              <w:right w:val="nil"/>
            </w:tcBorders>
            <w:shd w:val="clear" w:color="auto" w:fill="33CCCC"/>
          </w:tcPr>
          <w:p w14:paraId="7DDA7E6A" w14:textId="10AD1DF8" w:rsidR="008347F3" w:rsidRPr="00885753" w:rsidRDefault="008347F3" w:rsidP="008347F3">
            <w:pPr>
              <w:spacing w:before="100" w:beforeAutospacing="1" w:after="100" w:afterAutospacing="1"/>
              <w:rPr>
                <w:rFonts w:cstheme="minorHAnsi"/>
                <w:b/>
                <w:color w:val="FFFFFF" w:themeColor="background1"/>
              </w:rPr>
            </w:pPr>
            <w:r w:rsidRPr="00885753">
              <w:rPr>
                <w:rFonts w:cstheme="minorHAnsi"/>
                <w:b/>
                <w:color w:val="FFFFFF" w:themeColor="background1"/>
              </w:rPr>
              <w:lastRenderedPageBreak/>
              <w:t>Qualifications and experience required</w:t>
            </w:r>
          </w:p>
        </w:tc>
      </w:tr>
      <w:tr w:rsidR="008347F3" w:rsidRPr="00885753" w14:paraId="228FED3F" w14:textId="77777777" w:rsidTr="006C4FE6">
        <w:tc>
          <w:tcPr>
            <w:tcW w:w="9016" w:type="dxa"/>
            <w:tcBorders>
              <w:top w:val="nil"/>
              <w:left w:val="nil"/>
              <w:bottom w:val="nil"/>
              <w:right w:val="nil"/>
            </w:tcBorders>
          </w:tcPr>
          <w:p w14:paraId="5F69EF46"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 xml:space="preserve">Demonstrable experience of engaging and building relationships with leaders from schools, </w:t>
            </w:r>
            <w:proofErr w:type="gramStart"/>
            <w:r w:rsidRPr="009C575B">
              <w:rPr>
                <w:rFonts w:asciiTheme="minorHAnsi" w:hAnsiTheme="minorHAnsi" w:cstheme="minorHAnsi"/>
                <w:bCs/>
                <w:sz w:val="22"/>
                <w:szCs w:val="22"/>
              </w:rPr>
              <w:t>colleges</w:t>
            </w:r>
            <w:proofErr w:type="gramEnd"/>
            <w:r w:rsidRPr="009C575B">
              <w:rPr>
                <w:rFonts w:asciiTheme="minorHAnsi" w:hAnsiTheme="minorHAnsi" w:cstheme="minorHAnsi"/>
                <w:bCs/>
                <w:sz w:val="22"/>
                <w:szCs w:val="22"/>
              </w:rPr>
              <w:t xml:space="preserve"> and businesses.</w:t>
            </w:r>
          </w:p>
          <w:p w14:paraId="7E0D3E92"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 xml:space="preserve">Demonstrable experience of leading the delivery of programmes or projects with multiple stakeholders. </w:t>
            </w:r>
          </w:p>
          <w:p w14:paraId="5D2667B1"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A strong track record of stakeholder engagement and management and of communicating with a variety of audiences, preferably in the education and careers sector.</w:t>
            </w:r>
          </w:p>
          <w:p w14:paraId="2564C67F"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A demonstrable understanding of school culture and the challenges faced by schools in delivering careers and enterprise, and the current careers education and corporate social responsibility landscapes.</w:t>
            </w:r>
          </w:p>
          <w:p w14:paraId="261FBDC5" w14:textId="5F977D09" w:rsid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An understanding of relevant local and national policy relating to skills and economic development and the issues and barriers to employment faced by young people.</w:t>
            </w:r>
          </w:p>
          <w:p w14:paraId="51A4A64C" w14:textId="1B781D01" w:rsidR="008046E5" w:rsidRPr="008046E5" w:rsidRDefault="008046E5" w:rsidP="008046E5">
            <w:pPr>
              <w:pStyle w:val="ListParagraph"/>
              <w:numPr>
                <w:ilvl w:val="0"/>
                <w:numId w:val="15"/>
              </w:numPr>
              <w:rPr>
                <w:rFonts w:asciiTheme="minorHAnsi" w:hAnsiTheme="minorHAnsi" w:cstheme="minorHAnsi"/>
                <w:bCs/>
                <w:sz w:val="22"/>
                <w:szCs w:val="22"/>
              </w:rPr>
            </w:pPr>
            <w:r w:rsidRPr="008046E5">
              <w:rPr>
                <w:rFonts w:asciiTheme="minorHAnsi" w:hAnsiTheme="minorHAnsi" w:cstheme="minorHAnsi"/>
                <w:bCs/>
                <w:sz w:val="22"/>
                <w:szCs w:val="22"/>
              </w:rPr>
              <w:t xml:space="preserve">A demonstrable understanding of post-16 landscape including National Apprenticeship Service, Uni-Connect, National Careers Service and T Levels. </w:t>
            </w:r>
          </w:p>
          <w:p w14:paraId="5B59E415" w14:textId="4E66F8F7" w:rsidR="008347F3" w:rsidRPr="00885753" w:rsidRDefault="008347F3" w:rsidP="009C575B">
            <w:pPr>
              <w:pStyle w:val="ListParagraph"/>
              <w:spacing w:after="120"/>
              <w:jc w:val="both"/>
              <w:rPr>
                <w:rFonts w:asciiTheme="minorHAnsi" w:hAnsiTheme="minorHAnsi" w:cstheme="minorHAnsi"/>
                <w:sz w:val="22"/>
                <w:szCs w:val="22"/>
              </w:rPr>
            </w:pPr>
          </w:p>
        </w:tc>
      </w:tr>
      <w:tr w:rsidR="008347F3" w:rsidRPr="00885753" w14:paraId="0B7E0BAD" w14:textId="77777777" w:rsidTr="006C4FE6">
        <w:tc>
          <w:tcPr>
            <w:tcW w:w="9016" w:type="dxa"/>
            <w:tcBorders>
              <w:top w:val="nil"/>
              <w:left w:val="nil"/>
              <w:bottom w:val="nil"/>
              <w:right w:val="nil"/>
            </w:tcBorders>
            <w:shd w:val="clear" w:color="auto" w:fill="33CCCC"/>
          </w:tcPr>
          <w:p w14:paraId="6ED56484" w14:textId="0F2E56B9" w:rsidR="008347F3" w:rsidRPr="00885753" w:rsidRDefault="008347F3" w:rsidP="008347F3">
            <w:pPr>
              <w:spacing w:before="100" w:beforeAutospacing="1" w:after="100" w:afterAutospacing="1"/>
              <w:rPr>
                <w:rFonts w:cstheme="minorHAnsi"/>
                <w:b/>
                <w:color w:val="FFFFFF" w:themeColor="background1"/>
              </w:rPr>
            </w:pPr>
            <w:r w:rsidRPr="00885753">
              <w:rPr>
                <w:rFonts w:cstheme="minorHAnsi"/>
                <w:b/>
                <w:color w:val="FFFFFF" w:themeColor="background1"/>
              </w:rPr>
              <w:t>Skills and core competencies</w:t>
            </w:r>
          </w:p>
        </w:tc>
      </w:tr>
      <w:tr w:rsidR="008347F3" w:rsidRPr="00885753" w14:paraId="0700B28B" w14:textId="77777777" w:rsidTr="006C4FE6">
        <w:tc>
          <w:tcPr>
            <w:tcW w:w="9016" w:type="dxa"/>
            <w:tcBorders>
              <w:top w:val="nil"/>
              <w:left w:val="nil"/>
              <w:bottom w:val="nil"/>
              <w:right w:val="nil"/>
            </w:tcBorders>
          </w:tcPr>
          <w:p w14:paraId="1EF9ED0D"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 xml:space="preserve">Excellent communication and interpersonal skills, with the ability to persuade and influence a variety of audiences and encourage others to use new ways of working. </w:t>
            </w:r>
          </w:p>
          <w:p w14:paraId="413286D3" w14:textId="77777777" w:rsidR="009C575B" w:rsidRPr="009C575B" w:rsidRDefault="009C575B" w:rsidP="009C575B">
            <w:pPr>
              <w:pStyle w:val="ListParagraph"/>
              <w:numPr>
                <w:ilvl w:val="0"/>
                <w:numId w:val="15"/>
              </w:numPr>
              <w:rPr>
                <w:rFonts w:asciiTheme="minorHAnsi" w:hAnsiTheme="minorHAnsi" w:cstheme="minorHAnsi"/>
                <w:bCs/>
                <w:sz w:val="22"/>
                <w:szCs w:val="22"/>
              </w:rPr>
            </w:pPr>
            <w:r w:rsidRPr="009C575B">
              <w:rPr>
                <w:rFonts w:asciiTheme="minorHAnsi" w:hAnsiTheme="minorHAnsi" w:cstheme="minorHAnsi"/>
                <w:bCs/>
                <w:sz w:val="22"/>
                <w:szCs w:val="22"/>
              </w:rPr>
              <w:t>Collaborative and good at building relationships at all levels, both internally and with a range of external stakeholders.</w:t>
            </w:r>
          </w:p>
          <w:p w14:paraId="46474D4D" w14:textId="12D6ED82"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Proactive, with the ability to work independently, prioritising a busy workload</w:t>
            </w:r>
            <w:r>
              <w:rPr>
                <w:rFonts w:asciiTheme="minorHAnsi" w:hAnsiTheme="minorHAnsi" w:cstheme="minorHAnsi"/>
                <w:bCs/>
                <w:sz w:val="22"/>
                <w:szCs w:val="22"/>
              </w:rPr>
              <w:t xml:space="preserve">, managing relationships with </w:t>
            </w:r>
            <w:proofErr w:type="gramStart"/>
            <w:r w:rsidRPr="009C575B">
              <w:rPr>
                <w:rFonts w:asciiTheme="minorHAnsi" w:hAnsiTheme="minorHAnsi" w:cstheme="minorHAnsi"/>
                <w:bCs/>
                <w:sz w:val="22"/>
                <w:szCs w:val="22"/>
              </w:rPr>
              <w:t>a large number of</w:t>
            </w:r>
            <w:proofErr w:type="gramEnd"/>
            <w:r w:rsidRPr="009C575B">
              <w:rPr>
                <w:rFonts w:asciiTheme="minorHAnsi" w:hAnsiTheme="minorHAnsi" w:cstheme="minorHAnsi"/>
                <w:bCs/>
                <w:sz w:val="22"/>
                <w:szCs w:val="22"/>
              </w:rPr>
              <w:t xml:space="preserve"> stakeholders</w:t>
            </w:r>
            <w:r>
              <w:rPr>
                <w:rFonts w:asciiTheme="minorHAnsi" w:hAnsiTheme="minorHAnsi" w:cstheme="minorHAnsi"/>
                <w:bCs/>
                <w:sz w:val="22"/>
                <w:szCs w:val="22"/>
              </w:rPr>
              <w:t xml:space="preserve"> </w:t>
            </w:r>
            <w:r w:rsidRPr="009C575B">
              <w:rPr>
                <w:rFonts w:asciiTheme="minorHAnsi" w:hAnsiTheme="minorHAnsi" w:cstheme="minorHAnsi"/>
                <w:bCs/>
                <w:sz w:val="22"/>
                <w:szCs w:val="22"/>
              </w:rPr>
              <w:t>and adapting conflicting priorities and deadlines</w:t>
            </w:r>
          </w:p>
          <w:p w14:paraId="386D6102"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Able to think and plan strategically to measure and drive performance.</w:t>
            </w:r>
          </w:p>
          <w:p w14:paraId="4FCF2610"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Adaptable, tenacious, determined, positive and resilient with the ability to deal with ambiguity in a changing environment.</w:t>
            </w:r>
          </w:p>
          <w:p w14:paraId="58F41704" w14:textId="77777777" w:rsidR="009C575B" w:rsidRPr="009C575B" w:rsidRDefault="009C575B" w:rsidP="009C575B">
            <w:pPr>
              <w:pStyle w:val="ListParagraph"/>
              <w:numPr>
                <w:ilvl w:val="0"/>
                <w:numId w:val="15"/>
              </w:numPr>
              <w:spacing w:after="120"/>
              <w:jc w:val="both"/>
              <w:rPr>
                <w:rFonts w:asciiTheme="minorHAnsi" w:hAnsiTheme="minorHAnsi" w:cstheme="minorHAnsi"/>
                <w:bCs/>
                <w:sz w:val="22"/>
                <w:szCs w:val="22"/>
              </w:rPr>
            </w:pPr>
            <w:r w:rsidRPr="009C575B">
              <w:rPr>
                <w:rFonts w:asciiTheme="minorHAnsi" w:hAnsiTheme="minorHAnsi" w:cstheme="minorHAnsi"/>
                <w:bCs/>
                <w:sz w:val="22"/>
                <w:szCs w:val="22"/>
              </w:rPr>
              <w:t xml:space="preserve">Competent use of a range of digital and IT and social media platforms </w:t>
            </w:r>
            <w:proofErr w:type="gramStart"/>
            <w:r w:rsidRPr="009C575B">
              <w:rPr>
                <w:rFonts w:asciiTheme="minorHAnsi" w:hAnsiTheme="minorHAnsi" w:cstheme="minorHAnsi"/>
                <w:bCs/>
                <w:sz w:val="22"/>
                <w:szCs w:val="22"/>
              </w:rPr>
              <w:t>in order to</w:t>
            </w:r>
            <w:proofErr w:type="gramEnd"/>
            <w:r w:rsidRPr="009C575B">
              <w:rPr>
                <w:rFonts w:asciiTheme="minorHAnsi" w:hAnsiTheme="minorHAnsi" w:cstheme="minorHAnsi"/>
                <w:bCs/>
                <w:sz w:val="22"/>
                <w:szCs w:val="22"/>
              </w:rPr>
              <w:t xml:space="preserve"> improve and raise awareness of the direct impact of the network. </w:t>
            </w:r>
          </w:p>
          <w:p w14:paraId="578AE85A" w14:textId="58F70026" w:rsidR="008347F3" w:rsidRPr="00885753" w:rsidRDefault="009C575B" w:rsidP="009C575B">
            <w:pPr>
              <w:pStyle w:val="ListParagraph"/>
              <w:tabs>
                <w:tab w:val="left" w:pos="5980"/>
              </w:tabs>
              <w:spacing w:after="120"/>
              <w:jc w:val="both"/>
              <w:rPr>
                <w:rFonts w:asciiTheme="minorHAnsi" w:hAnsiTheme="minorHAnsi" w:cstheme="minorHAnsi"/>
                <w:bCs/>
                <w:sz w:val="22"/>
                <w:szCs w:val="22"/>
              </w:rPr>
            </w:pPr>
            <w:r>
              <w:rPr>
                <w:rFonts w:asciiTheme="minorHAnsi" w:hAnsiTheme="minorHAnsi" w:cstheme="minorHAnsi"/>
                <w:bCs/>
                <w:sz w:val="22"/>
                <w:szCs w:val="22"/>
              </w:rPr>
              <w:tab/>
            </w:r>
          </w:p>
        </w:tc>
      </w:tr>
    </w:tbl>
    <w:p w14:paraId="40CE3CE9" w14:textId="42B570E4" w:rsidR="006B74F9" w:rsidRPr="00885753" w:rsidRDefault="00D0094C" w:rsidP="009C575B">
      <w:pPr>
        <w:spacing w:line="240" w:lineRule="auto"/>
        <w:jc w:val="center"/>
        <w:rPr>
          <w:rFonts w:cstheme="minorHAnsi"/>
          <w:b/>
          <w:bCs/>
        </w:rPr>
      </w:pPr>
      <w:r w:rsidRPr="00D0094C">
        <w:rPr>
          <w:rFonts w:cstheme="minorHAnsi"/>
          <w:b/>
          <w:bCs/>
        </w:rPr>
        <w:lastRenderedPageBreak/>
        <w:t>Job Descriptions are not part of the terms and conditions of employment and may be subject to change.</w:t>
      </w:r>
    </w:p>
    <w:sectPr w:rsidR="006B74F9" w:rsidRPr="00885753" w:rsidSect="00F152C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698E" w14:textId="77777777" w:rsidR="006B417D" w:rsidRDefault="006B417D" w:rsidP="00F152CE">
      <w:pPr>
        <w:spacing w:after="0" w:line="240" w:lineRule="auto"/>
      </w:pPr>
      <w:r>
        <w:separator/>
      </w:r>
    </w:p>
  </w:endnote>
  <w:endnote w:type="continuationSeparator" w:id="0">
    <w:p w14:paraId="5925BA76" w14:textId="77777777" w:rsidR="006B417D" w:rsidRDefault="006B417D" w:rsidP="00F1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2A6B" w14:textId="77777777" w:rsidR="006B417D" w:rsidRDefault="006B417D" w:rsidP="00F152CE">
      <w:pPr>
        <w:spacing w:after="0" w:line="240" w:lineRule="auto"/>
      </w:pPr>
      <w:r>
        <w:separator/>
      </w:r>
    </w:p>
  </w:footnote>
  <w:footnote w:type="continuationSeparator" w:id="0">
    <w:p w14:paraId="2B48BABC" w14:textId="77777777" w:rsidR="006B417D" w:rsidRDefault="006B417D" w:rsidP="00F1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0C1" w14:textId="77777777" w:rsidR="00F152CE" w:rsidRDefault="00F152CE">
    <w:pPr>
      <w:pStyle w:val="Header"/>
    </w:pPr>
    <w:r w:rsidRPr="00F84B31">
      <w:rPr>
        <w:noProof/>
        <w:sz w:val="21"/>
        <w:szCs w:val="20"/>
        <w:lang w:val="en-US"/>
      </w:rPr>
      <w:drawing>
        <wp:anchor distT="0" distB="0" distL="114300" distR="114300" simplePos="0" relativeHeight="251659264" behindDoc="1" locked="0" layoutInCell="1" allowOverlap="1" wp14:anchorId="5C3192C4" wp14:editId="5C6BA4F5">
          <wp:simplePos x="0" y="0"/>
          <wp:positionH relativeFrom="column">
            <wp:posOffset>-101600</wp:posOffset>
          </wp:positionH>
          <wp:positionV relativeFrom="paragraph">
            <wp:posOffset>-38735</wp:posOffset>
          </wp:positionV>
          <wp:extent cx="2018665" cy="814705"/>
          <wp:effectExtent l="0" t="0" r="635" b="4445"/>
          <wp:wrapNone/>
          <wp:docPr id="2" name="Picture 2" descr="Data:Clients:CEC:Branding:CEC LOGO_RGB.jpg"/>
          <wp:cNvGraphicFramePr/>
          <a:graphic xmlns:a="http://schemas.openxmlformats.org/drawingml/2006/main">
            <a:graphicData uri="http://schemas.openxmlformats.org/drawingml/2006/picture">
              <pic:pic xmlns:pic="http://schemas.openxmlformats.org/drawingml/2006/picture">
                <pic:nvPicPr>
                  <pic:cNvPr id="1" name="Picture 1" descr="Data:Clients:CEC:Branding:CEC LOGO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5" cy="814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A2"/>
    <w:multiLevelType w:val="hybridMultilevel"/>
    <w:tmpl w:val="29308F58"/>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3F3"/>
    <w:multiLevelType w:val="hybridMultilevel"/>
    <w:tmpl w:val="FD2AFB72"/>
    <w:lvl w:ilvl="0" w:tplc="089486C0">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27643"/>
    <w:multiLevelType w:val="hybridMultilevel"/>
    <w:tmpl w:val="58B81FDA"/>
    <w:lvl w:ilvl="0" w:tplc="DF1614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316E7"/>
    <w:multiLevelType w:val="hybridMultilevel"/>
    <w:tmpl w:val="796A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31765"/>
    <w:multiLevelType w:val="hybridMultilevel"/>
    <w:tmpl w:val="6A966D60"/>
    <w:lvl w:ilvl="0" w:tplc="089486C0">
      <w:numFmt w:val="bullet"/>
      <w:lvlText w:val="•"/>
      <w:lvlJc w:val="left"/>
      <w:pPr>
        <w:ind w:left="1440" w:hanging="72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D01BC7"/>
    <w:multiLevelType w:val="hybridMultilevel"/>
    <w:tmpl w:val="BBECF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43BC2"/>
    <w:multiLevelType w:val="hybridMultilevel"/>
    <w:tmpl w:val="6FA6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9E07A0"/>
    <w:multiLevelType w:val="hybridMultilevel"/>
    <w:tmpl w:val="520E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7588D"/>
    <w:multiLevelType w:val="hybridMultilevel"/>
    <w:tmpl w:val="8CA043D6"/>
    <w:lvl w:ilvl="0" w:tplc="57D4B872">
      <w:numFmt w:val="bullet"/>
      <w:lvlText w:val=""/>
      <w:lvlJc w:val="left"/>
      <w:pPr>
        <w:ind w:left="72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57CBA"/>
    <w:multiLevelType w:val="hybridMultilevel"/>
    <w:tmpl w:val="6E40E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884063"/>
    <w:multiLevelType w:val="hybridMultilevel"/>
    <w:tmpl w:val="CD82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70ECA"/>
    <w:multiLevelType w:val="hybridMultilevel"/>
    <w:tmpl w:val="FFE8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C63C9"/>
    <w:multiLevelType w:val="hybridMultilevel"/>
    <w:tmpl w:val="CDAE3D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C3F71"/>
    <w:multiLevelType w:val="hybridMultilevel"/>
    <w:tmpl w:val="2AC09574"/>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C7A13"/>
    <w:multiLevelType w:val="hybridMultilevel"/>
    <w:tmpl w:val="395E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35151"/>
    <w:multiLevelType w:val="hybridMultilevel"/>
    <w:tmpl w:val="AA16A8B4"/>
    <w:lvl w:ilvl="0" w:tplc="1068B65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4624E"/>
    <w:multiLevelType w:val="hybridMultilevel"/>
    <w:tmpl w:val="398E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94B86"/>
    <w:multiLevelType w:val="hybridMultilevel"/>
    <w:tmpl w:val="3F28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F5321"/>
    <w:multiLevelType w:val="hybridMultilevel"/>
    <w:tmpl w:val="CA2A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6504B"/>
    <w:multiLevelType w:val="hybridMultilevel"/>
    <w:tmpl w:val="288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B4482"/>
    <w:multiLevelType w:val="hybridMultilevel"/>
    <w:tmpl w:val="6EF41990"/>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F2F0B"/>
    <w:multiLevelType w:val="hybridMultilevel"/>
    <w:tmpl w:val="038C8AB4"/>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64891"/>
    <w:multiLevelType w:val="hybridMultilevel"/>
    <w:tmpl w:val="851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F576B"/>
    <w:multiLevelType w:val="hybridMultilevel"/>
    <w:tmpl w:val="FBA4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700DD"/>
    <w:multiLevelType w:val="hybridMultilevel"/>
    <w:tmpl w:val="F0A48532"/>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D27DD"/>
    <w:multiLevelType w:val="hybridMultilevel"/>
    <w:tmpl w:val="BCA0E7E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6" w15:restartNumberingAfterBreak="0">
    <w:nsid w:val="5FBB5FDF"/>
    <w:multiLevelType w:val="hybridMultilevel"/>
    <w:tmpl w:val="7B8C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C25FB"/>
    <w:multiLevelType w:val="hybridMultilevel"/>
    <w:tmpl w:val="16F89760"/>
    <w:lvl w:ilvl="0" w:tplc="CFBE4128">
      <w:start w:val="1"/>
      <w:numFmt w:val="decimal"/>
      <w:lvlText w:val="%1."/>
      <w:lvlJc w:val="left"/>
      <w:pPr>
        <w:ind w:left="720" w:hanging="360"/>
      </w:pPr>
      <w:rPr>
        <w:rFonts w:ascii="Calibri" w:eastAsia="Times New Roma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833C7C"/>
    <w:multiLevelType w:val="hybridMultilevel"/>
    <w:tmpl w:val="6712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A4055"/>
    <w:multiLevelType w:val="hybridMultilevel"/>
    <w:tmpl w:val="4ECC5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442A44"/>
    <w:multiLevelType w:val="hybridMultilevel"/>
    <w:tmpl w:val="23EA4A80"/>
    <w:lvl w:ilvl="0" w:tplc="71763476">
      <w:start w:val="1"/>
      <w:numFmt w:val="bullet"/>
      <w:lvlText w:val="-"/>
      <w:lvlJc w:val="left"/>
      <w:pPr>
        <w:ind w:left="720" w:hanging="360"/>
      </w:pPr>
      <w:rPr>
        <w:rFonts w:ascii="Lato" w:eastAsia="Times New Roman" w:hAnsi="La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A703DA"/>
    <w:multiLevelType w:val="hybridMultilevel"/>
    <w:tmpl w:val="E5B2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A37F9"/>
    <w:multiLevelType w:val="hybridMultilevel"/>
    <w:tmpl w:val="0030A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A3D5AC9"/>
    <w:multiLevelType w:val="hybridMultilevel"/>
    <w:tmpl w:val="D046C248"/>
    <w:lvl w:ilvl="0" w:tplc="6FA23B14">
      <w:numFmt w:val="bullet"/>
      <w:lvlText w:val="-"/>
      <w:lvlJc w:val="left"/>
      <w:pPr>
        <w:ind w:left="970"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968B7"/>
    <w:multiLevelType w:val="hybridMultilevel"/>
    <w:tmpl w:val="19D097FC"/>
    <w:lvl w:ilvl="0" w:tplc="089486C0">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26E30"/>
    <w:multiLevelType w:val="hybridMultilevel"/>
    <w:tmpl w:val="FCD4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5"/>
  </w:num>
  <w:num w:numId="4">
    <w:abstractNumId w:val="22"/>
  </w:num>
  <w:num w:numId="5">
    <w:abstractNumId w:val="8"/>
  </w:num>
  <w:num w:numId="6">
    <w:abstractNumId w:val="5"/>
  </w:num>
  <w:num w:numId="7">
    <w:abstractNumId w:val="28"/>
  </w:num>
  <w:num w:numId="8">
    <w:abstractNumId w:val="28"/>
  </w:num>
  <w:num w:numId="9">
    <w:abstractNumId w:val="2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29"/>
  </w:num>
  <w:num w:numId="15">
    <w:abstractNumId w:val="17"/>
  </w:num>
  <w:num w:numId="16">
    <w:abstractNumId w:val="6"/>
  </w:num>
  <w:num w:numId="17">
    <w:abstractNumId w:val="30"/>
  </w:num>
  <w:num w:numId="18">
    <w:abstractNumId w:val="30"/>
  </w:num>
  <w:num w:numId="19">
    <w:abstractNumId w:val="9"/>
  </w:num>
  <w:num w:numId="20">
    <w:abstractNumId w:val="35"/>
  </w:num>
  <w:num w:numId="21">
    <w:abstractNumId w:val="33"/>
  </w:num>
  <w:num w:numId="22">
    <w:abstractNumId w:val="7"/>
  </w:num>
  <w:num w:numId="23">
    <w:abstractNumId w:val="10"/>
  </w:num>
  <w:num w:numId="24">
    <w:abstractNumId w:val="2"/>
  </w:num>
  <w:num w:numId="25">
    <w:abstractNumId w:val="3"/>
  </w:num>
  <w:num w:numId="26">
    <w:abstractNumId w:val="18"/>
  </w:num>
  <w:num w:numId="27">
    <w:abstractNumId w:val="31"/>
  </w:num>
  <w:num w:numId="28">
    <w:abstractNumId w:val="24"/>
  </w:num>
  <w:num w:numId="29">
    <w:abstractNumId w:val="4"/>
  </w:num>
  <w:num w:numId="30">
    <w:abstractNumId w:val="1"/>
  </w:num>
  <w:num w:numId="31">
    <w:abstractNumId w:val="13"/>
  </w:num>
  <w:num w:numId="32">
    <w:abstractNumId w:val="0"/>
  </w:num>
  <w:num w:numId="33">
    <w:abstractNumId w:val="34"/>
  </w:num>
  <w:num w:numId="34">
    <w:abstractNumId w:val="23"/>
  </w:num>
  <w:num w:numId="35">
    <w:abstractNumId w:val="20"/>
  </w:num>
  <w:num w:numId="36">
    <w:abstractNumId w:val="26"/>
  </w:num>
  <w:num w:numId="37">
    <w:abstractNumId w:val="21"/>
  </w:num>
  <w:num w:numId="38">
    <w:abstractNumId w:val="19"/>
  </w:num>
  <w:num w:numId="39">
    <w:abstractNumId w:val="1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F9"/>
    <w:rsid w:val="00000F59"/>
    <w:rsid w:val="000052D5"/>
    <w:rsid w:val="00010DEE"/>
    <w:rsid w:val="00021571"/>
    <w:rsid w:val="00023244"/>
    <w:rsid w:val="00057D89"/>
    <w:rsid w:val="00091EAE"/>
    <w:rsid w:val="0009279A"/>
    <w:rsid w:val="00093E93"/>
    <w:rsid w:val="000B3370"/>
    <w:rsid w:val="000B3E99"/>
    <w:rsid w:val="000F4B22"/>
    <w:rsid w:val="001041B8"/>
    <w:rsid w:val="001161C6"/>
    <w:rsid w:val="00121123"/>
    <w:rsid w:val="001742BB"/>
    <w:rsid w:val="00180FD3"/>
    <w:rsid w:val="00184E61"/>
    <w:rsid w:val="00194AA3"/>
    <w:rsid w:val="00197C95"/>
    <w:rsid w:val="001B7CE3"/>
    <w:rsid w:val="00204163"/>
    <w:rsid w:val="00244E49"/>
    <w:rsid w:val="00266897"/>
    <w:rsid w:val="00272EC3"/>
    <w:rsid w:val="00291E06"/>
    <w:rsid w:val="002A1DC9"/>
    <w:rsid w:val="002A6713"/>
    <w:rsid w:val="002B2640"/>
    <w:rsid w:val="002E098F"/>
    <w:rsid w:val="002F0A0B"/>
    <w:rsid w:val="003071D7"/>
    <w:rsid w:val="003139B5"/>
    <w:rsid w:val="00320987"/>
    <w:rsid w:val="00325E6E"/>
    <w:rsid w:val="00337CC5"/>
    <w:rsid w:val="00344A60"/>
    <w:rsid w:val="00347DC5"/>
    <w:rsid w:val="00391ABE"/>
    <w:rsid w:val="003934E8"/>
    <w:rsid w:val="00394114"/>
    <w:rsid w:val="003973BE"/>
    <w:rsid w:val="003B26C9"/>
    <w:rsid w:val="003B73B1"/>
    <w:rsid w:val="003C417E"/>
    <w:rsid w:val="003C69B1"/>
    <w:rsid w:val="003D222D"/>
    <w:rsid w:val="003E10DC"/>
    <w:rsid w:val="003E18CF"/>
    <w:rsid w:val="003E262D"/>
    <w:rsid w:val="003F1FFD"/>
    <w:rsid w:val="0043797F"/>
    <w:rsid w:val="00472342"/>
    <w:rsid w:val="00475CC2"/>
    <w:rsid w:val="0049204E"/>
    <w:rsid w:val="004979DB"/>
    <w:rsid w:val="004A3E05"/>
    <w:rsid w:val="004B04A7"/>
    <w:rsid w:val="004B25A9"/>
    <w:rsid w:val="004B2826"/>
    <w:rsid w:val="004B3B46"/>
    <w:rsid w:val="004C15A5"/>
    <w:rsid w:val="004C503D"/>
    <w:rsid w:val="004C5552"/>
    <w:rsid w:val="004D3463"/>
    <w:rsid w:val="004D5384"/>
    <w:rsid w:val="004D7DED"/>
    <w:rsid w:val="004F4DEE"/>
    <w:rsid w:val="0051057F"/>
    <w:rsid w:val="0053304E"/>
    <w:rsid w:val="00556767"/>
    <w:rsid w:val="0056642C"/>
    <w:rsid w:val="00584C96"/>
    <w:rsid w:val="00594C64"/>
    <w:rsid w:val="005974A1"/>
    <w:rsid w:val="005A102E"/>
    <w:rsid w:val="005C1C71"/>
    <w:rsid w:val="005C4AB2"/>
    <w:rsid w:val="005F203A"/>
    <w:rsid w:val="00600AD2"/>
    <w:rsid w:val="006018BD"/>
    <w:rsid w:val="00617A16"/>
    <w:rsid w:val="0063472E"/>
    <w:rsid w:val="00634C2F"/>
    <w:rsid w:val="006477E2"/>
    <w:rsid w:val="00667CE4"/>
    <w:rsid w:val="006B417D"/>
    <w:rsid w:val="006B5839"/>
    <w:rsid w:val="006B74F9"/>
    <w:rsid w:val="006C1FA5"/>
    <w:rsid w:val="006C231D"/>
    <w:rsid w:val="006C4FE6"/>
    <w:rsid w:val="006C58A1"/>
    <w:rsid w:val="006E5A6E"/>
    <w:rsid w:val="006E7363"/>
    <w:rsid w:val="007037C1"/>
    <w:rsid w:val="00721AE5"/>
    <w:rsid w:val="00741D9A"/>
    <w:rsid w:val="0075253A"/>
    <w:rsid w:val="00781140"/>
    <w:rsid w:val="00783742"/>
    <w:rsid w:val="00787AF3"/>
    <w:rsid w:val="0079667E"/>
    <w:rsid w:val="007E205E"/>
    <w:rsid w:val="007E44C1"/>
    <w:rsid w:val="007F1628"/>
    <w:rsid w:val="008046E5"/>
    <w:rsid w:val="0082086E"/>
    <w:rsid w:val="008268C3"/>
    <w:rsid w:val="008347F3"/>
    <w:rsid w:val="00875DCE"/>
    <w:rsid w:val="00885753"/>
    <w:rsid w:val="008A445F"/>
    <w:rsid w:val="008B3D7D"/>
    <w:rsid w:val="008C3D63"/>
    <w:rsid w:val="008C6F35"/>
    <w:rsid w:val="008E12B0"/>
    <w:rsid w:val="009018AC"/>
    <w:rsid w:val="00935D2B"/>
    <w:rsid w:val="00944460"/>
    <w:rsid w:val="00950754"/>
    <w:rsid w:val="00975C6C"/>
    <w:rsid w:val="00990F10"/>
    <w:rsid w:val="00995796"/>
    <w:rsid w:val="009C575B"/>
    <w:rsid w:val="009E34A2"/>
    <w:rsid w:val="009E7040"/>
    <w:rsid w:val="009F1FD5"/>
    <w:rsid w:val="00A4119B"/>
    <w:rsid w:val="00A56C5B"/>
    <w:rsid w:val="00A740D8"/>
    <w:rsid w:val="00AA31C4"/>
    <w:rsid w:val="00AA7B5B"/>
    <w:rsid w:val="00AB4A1B"/>
    <w:rsid w:val="00AB51C8"/>
    <w:rsid w:val="00AC4EA4"/>
    <w:rsid w:val="00AF5B8D"/>
    <w:rsid w:val="00B14A1C"/>
    <w:rsid w:val="00B15D81"/>
    <w:rsid w:val="00B31AC5"/>
    <w:rsid w:val="00B62206"/>
    <w:rsid w:val="00B72566"/>
    <w:rsid w:val="00B77FC2"/>
    <w:rsid w:val="00B84484"/>
    <w:rsid w:val="00BD46BA"/>
    <w:rsid w:val="00C206EE"/>
    <w:rsid w:val="00C325D3"/>
    <w:rsid w:val="00C42112"/>
    <w:rsid w:val="00C45273"/>
    <w:rsid w:val="00C452FA"/>
    <w:rsid w:val="00C67BBF"/>
    <w:rsid w:val="00C82933"/>
    <w:rsid w:val="00C834D0"/>
    <w:rsid w:val="00C83C5A"/>
    <w:rsid w:val="00CA1DDF"/>
    <w:rsid w:val="00CA1E47"/>
    <w:rsid w:val="00CC61C5"/>
    <w:rsid w:val="00D0094C"/>
    <w:rsid w:val="00D06568"/>
    <w:rsid w:val="00D53A10"/>
    <w:rsid w:val="00D7400D"/>
    <w:rsid w:val="00D74278"/>
    <w:rsid w:val="00DA3697"/>
    <w:rsid w:val="00DA4CBD"/>
    <w:rsid w:val="00DB6C10"/>
    <w:rsid w:val="00DC4176"/>
    <w:rsid w:val="00DD14E3"/>
    <w:rsid w:val="00DE6CE2"/>
    <w:rsid w:val="00DF6A4A"/>
    <w:rsid w:val="00E17DB2"/>
    <w:rsid w:val="00E20C58"/>
    <w:rsid w:val="00E44527"/>
    <w:rsid w:val="00E71ADD"/>
    <w:rsid w:val="00E93670"/>
    <w:rsid w:val="00EA008D"/>
    <w:rsid w:val="00EB0774"/>
    <w:rsid w:val="00F0247A"/>
    <w:rsid w:val="00F10692"/>
    <w:rsid w:val="00F131E8"/>
    <w:rsid w:val="00F152CE"/>
    <w:rsid w:val="00F206B9"/>
    <w:rsid w:val="00F450AD"/>
    <w:rsid w:val="00F56F45"/>
    <w:rsid w:val="00F64F87"/>
    <w:rsid w:val="00FA4040"/>
    <w:rsid w:val="00FB13E2"/>
    <w:rsid w:val="00FE6474"/>
    <w:rsid w:val="00FE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4D1E"/>
  <w15:chartTrackingRefBased/>
  <w15:docId w15:val="{111D53E2-9037-4463-BEFC-E5DE80A8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B74F9"/>
    <w:pPr>
      <w:keepNext/>
      <w:spacing w:before="40" w:after="120" w:line="240"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74F9"/>
    <w:rPr>
      <w:rFonts w:ascii="Calibri Light" w:hAnsi="Calibri Light" w:cs="Calibri Light"/>
      <w:color w:val="1F3763"/>
      <w:sz w:val="24"/>
      <w:szCs w:val="24"/>
    </w:rPr>
  </w:style>
  <w:style w:type="character" w:styleId="Hyperlink">
    <w:name w:val="Hyperlink"/>
    <w:basedOn w:val="DefaultParagraphFont"/>
    <w:uiPriority w:val="99"/>
    <w:unhideWhenUsed/>
    <w:rsid w:val="006B74F9"/>
    <w:rPr>
      <w:color w:val="0563C1"/>
      <w:u w:val="single"/>
    </w:rPr>
  </w:style>
  <w:style w:type="paragraph" w:styleId="ListParagraph">
    <w:name w:val="List Paragraph"/>
    <w:aliases w:val="List Paragraph12,Normal numbered,OBC Bullet,List Paragraph2,No Spacing11,List Paragrap,Colorful List - Accent 12,Bullet Styl,Bullet,L,Dot pt,No Spacing1,List Paragraph Char Char Char,Indicator Text,Numbered Para 1,Bullet 1"/>
    <w:basedOn w:val="Normal"/>
    <w:link w:val="ListParagraphChar"/>
    <w:uiPriority w:val="34"/>
    <w:qFormat/>
    <w:rsid w:val="006B74F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2 Char,Normal numbered Char,OBC Bullet Char,List Paragraph2 Char,No Spacing11 Char,List Paragrap Char,Colorful List - Accent 12 Char,Bullet Styl Char,Bullet Char,L Char,Dot pt Char,No Spacing1 Char,Indicator Text Char"/>
    <w:link w:val="ListParagraph"/>
    <w:uiPriority w:val="34"/>
    <w:qFormat/>
    <w:rsid w:val="006B74F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2CE"/>
  </w:style>
  <w:style w:type="paragraph" w:styleId="Footer">
    <w:name w:val="footer"/>
    <w:basedOn w:val="Normal"/>
    <w:link w:val="FooterChar"/>
    <w:uiPriority w:val="99"/>
    <w:unhideWhenUsed/>
    <w:rsid w:val="00F1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2CE"/>
  </w:style>
  <w:style w:type="paragraph" w:styleId="NoSpacing">
    <w:name w:val="No Spacing"/>
    <w:uiPriority w:val="1"/>
    <w:qFormat/>
    <w:rsid w:val="009E34A2"/>
    <w:pPr>
      <w:spacing w:after="0" w:line="240" w:lineRule="auto"/>
    </w:pPr>
  </w:style>
  <w:style w:type="character" w:styleId="CommentReference">
    <w:name w:val="annotation reference"/>
    <w:basedOn w:val="DefaultParagraphFont"/>
    <w:uiPriority w:val="99"/>
    <w:semiHidden/>
    <w:unhideWhenUsed/>
    <w:rsid w:val="00CC61C5"/>
    <w:rPr>
      <w:sz w:val="16"/>
      <w:szCs w:val="16"/>
    </w:rPr>
  </w:style>
  <w:style w:type="paragraph" w:styleId="CommentText">
    <w:name w:val="annotation text"/>
    <w:basedOn w:val="Normal"/>
    <w:link w:val="CommentTextChar"/>
    <w:uiPriority w:val="99"/>
    <w:unhideWhenUsed/>
    <w:rsid w:val="00CC61C5"/>
    <w:pPr>
      <w:spacing w:line="240" w:lineRule="auto"/>
    </w:pPr>
    <w:rPr>
      <w:sz w:val="20"/>
      <w:szCs w:val="20"/>
    </w:rPr>
  </w:style>
  <w:style w:type="character" w:customStyle="1" w:styleId="CommentTextChar">
    <w:name w:val="Comment Text Char"/>
    <w:basedOn w:val="DefaultParagraphFont"/>
    <w:link w:val="CommentText"/>
    <w:uiPriority w:val="99"/>
    <w:rsid w:val="00CC61C5"/>
    <w:rPr>
      <w:sz w:val="20"/>
      <w:szCs w:val="20"/>
    </w:rPr>
  </w:style>
  <w:style w:type="paragraph" w:styleId="CommentSubject">
    <w:name w:val="annotation subject"/>
    <w:basedOn w:val="CommentText"/>
    <w:next w:val="CommentText"/>
    <w:link w:val="CommentSubjectChar"/>
    <w:uiPriority w:val="99"/>
    <w:semiHidden/>
    <w:unhideWhenUsed/>
    <w:rsid w:val="00CC61C5"/>
    <w:rPr>
      <w:b/>
      <w:bCs/>
    </w:rPr>
  </w:style>
  <w:style w:type="character" w:customStyle="1" w:styleId="CommentSubjectChar">
    <w:name w:val="Comment Subject Char"/>
    <w:basedOn w:val="CommentTextChar"/>
    <w:link w:val="CommentSubject"/>
    <w:uiPriority w:val="99"/>
    <w:semiHidden/>
    <w:rsid w:val="00CC61C5"/>
    <w:rPr>
      <w:b/>
      <w:bCs/>
      <w:sz w:val="20"/>
      <w:szCs w:val="20"/>
    </w:rPr>
  </w:style>
  <w:style w:type="paragraph" w:styleId="Revision">
    <w:name w:val="Revision"/>
    <w:hidden/>
    <w:uiPriority w:val="99"/>
    <w:semiHidden/>
    <w:rsid w:val="00CC61C5"/>
    <w:pPr>
      <w:spacing w:after="0" w:line="240" w:lineRule="auto"/>
    </w:pPr>
  </w:style>
  <w:style w:type="paragraph" w:styleId="BalloonText">
    <w:name w:val="Balloon Text"/>
    <w:basedOn w:val="Normal"/>
    <w:link w:val="BalloonTextChar"/>
    <w:uiPriority w:val="99"/>
    <w:semiHidden/>
    <w:unhideWhenUsed/>
    <w:rsid w:val="00CC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C5"/>
    <w:rPr>
      <w:rFonts w:ascii="Segoe UI" w:hAnsi="Segoe UI" w:cs="Segoe UI"/>
      <w:sz w:val="18"/>
      <w:szCs w:val="18"/>
    </w:rPr>
  </w:style>
  <w:style w:type="paragraph" w:styleId="NormalWeb">
    <w:name w:val="Normal (Web)"/>
    <w:basedOn w:val="Normal"/>
    <w:uiPriority w:val="99"/>
    <w:unhideWhenUsed/>
    <w:rsid w:val="008C6F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3662">
      <w:bodyDiv w:val="1"/>
      <w:marLeft w:val="0"/>
      <w:marRight w:val="0"/>
      <w:marTop w:val="0"/>
      <w:marBottom w:val="0"/>
      <w:divBdr>
        <w:top w:val="none" w:sz="0" w:space="0" w:color="auto"/>
        <w:left w:val="none" w:sz="0" w:space="0" w:color="auto"/>
        <w:bottom w:val="none" w:sz="0" w:space="0" w:color="auto"/>
        <w:right w:val="none" w:sz="0" w:space="0" w:color="auto"/>
      </w:divBdr>
    </w:div>
    <w:div w:id="964850415">
      <w:bodyDiv w:val="1"/>
      <w:marLeft w:val="0"/>
      <w:marRight w:val="0"/>
      <w:marTop w:val="0"/>
      <w:marBottom w:val="0"/>
      <w:divBdr>
        <w:top w:val="none" w:sz="0" w:space="0" w:color="auto"/>
        <w:left w:val="none" w:sz="0" w:space="0" w:color="auto"/>
        <w:bottom w:val="none" w:sz="0" w:space="0" w:color="auto"/>
        <w:right w:val="none" w:sz="0" w:space="0" w:color="auto"/>
      </w:divBdr>
    </w:div>
    <w:div w:id="997151066">
      <w:bodyDiv w:val="1"/>
      <w:marLeft w:val="0"/>
      <w:marRight w:val="0"/>
      <w:marTop w:val="0"/>
      <w:marBottom w:val="0"/>
      <w:divBdr>
        <w:top w:val="none" w:sz="0" w:space="0" w:color="auto"/>
        <w:left w:val="none" w:sz="0" w:space="0" w:color="auto"/>
        <w:bottom w:val="none" w:sz="0" w:space="0" w:color="auto"/>
        <w:right w:val="none" w:sz="0" w:space="0" w:color="auto"/>
      </w:divBdr>
    </w:div>
    <w:div w:id="1498375451">
      <w:bodyDiv w:val="1"/>
      <w:marLeft w:val="0"/>
      <w:marRight w:val="0"/>
      <w:marTop w:val="0"/>
      <w:marBottom w:val="0"/>
      <w:divBdr>
        <w:top w:val="none" w:sz="0" w:space="0" w:color="auto"/>
        <w:left w:val="none" w:sz="0" w:space="0" w:color="auto"/>
        <w:bottom w:val="none" w:sz="0" w:space="0" w:color="auto"/>
        <w:right w:val="none" w:sz="0" w:space="0" w:color="auto"/>
      </w:divBdr>
    </w:div>
    <w:div w:id="1528178724">
      <w:bodyDiv w:val="1"/>
      <w:marLeft w:val="0"/>
      <w:marRight w:val="0"/>
      <w:marTop w:val="0"/>
      <w:marBottom w:val="0"/>
      <w:divBdr>
        <w:top w:val="none" w:sz="0" w:space="0" w:color="auto"/>
        <w:left w:val="none" w:sz="0" w:space="0" w:color="auto"/>
        <w:bottom w:val="none" w:sz="0" w:space="0" w:color="auto"/>
        <w:right w:val="none" w:sz="0" w:space="0" w:color="auto"/>
      </w:divBdr>
    </w:div>
    <w:div w:id="18497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Kevin.Ronan</dc:creator>
  <cp:keywords/>
  <dc:description/>
  <cp:lastModifiedBy>Marie Yates</cp:lastModifiedBy>
  <cp:revision>3</cp:revision>
  <cp:lastPrinted>2018-11-07T16:17:00Z</cp:lastPrinted>
  <dcterms:created xsi:type="dcterms:W3CDTF">2022-01-13T15:14:00Z</dcterms:created>
  <dcterms:modified xsi:type="dcterms:W3CDTF">2022-01-13T15:15:00Z</dcterms:modified>
</cp:coreProperties>
</file>